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96F01" w14:textId="5F5BD0EC" w:rsidR="00B2580E" w:rsidRPr="003B2B12" w:rsidRDefault="00435C83" w:rsidP="00B2580E">
      <w:pPr>
        <w:pStyle w:val="documento"/>
        <w:jc w:val="center"/>
        <w:rPr>
          <w:b/>
        </w:rPr>
      </w:pPr>
      <w:r w:rsidRPr="00435C83">
        <w:rPr>
          <w:b/>
        </w:rPr>
        <w:t xml:space="preserve">ÓRGANO AUTÓNOMO: </w:t>
      </w:r>
      <w:r w:rsidR="005D29A2">
        <w:rPr>
          <w:b/>
        </w:rPr>
        <w:t>INSTITUTO DE ACCESO A LA INFORMACIÓN PÚBLICA Y PROTECCIÓN DE DATOS PERSONALES DEL DISTRITO FEDERAL</w:t>
      </w:r>
    </w:p>
    <w:p w14:paraId="38C433A9" w14:textId="77777777" w:rsidR="00B2580E" w:rsidRPr="00196151" w:rsidRDefault="00B2580E" w:rsidP="00B2580E">
      <w:pPr>
        <w:pStyle w:val="TitCtaPub1"/>
        <w:rPr>
          <w:sz w:val="22"/>
          <w:szCs w:val="22"/>
        </w:rPr>
      </w:pPr>
    </w:p>
    <w:p w14:paraId="59FE9A02" w14:textId="24016531" w:rsidR="00B2580E" w:rsidRDefault="00B2580E" w:rsidP="00B2580E">
      <w:pPr>
        <w:pStyle w:val="documento"/>
        <w:jc w:val="center"/>
        <w:rPr>
          <w:b/>
        </w:rPr>
      </w:pPr>
      <w:r w:rsidRPr="003B2B12">
        <w:rPr>
          <w:b/>
        </w:rPr>
        <w:t>NOTAS A LOS ESTADOS FINANCIEROS</w:t>
      </w:r>
      <w:r w:rsidR="00DF5D4B">
        <w:rPr>
          <w:b/>
        </w:rPr>
        <w:t xml:space="preserve"> AL 30</w:t>
      </w:r>
      <w:r w:rsidR="00D96169">
        <w:rPr>
          <w:b/>
        </w:rPr>
        <w:t xml:space="preserve"> DE </w:t>
      </w:r>
      <w:r w:rsidR="00DF5D4B">
        <w:rPr>
          <w:b/>
        </w:rPr>
        <w:t>SEPTIEMBRE</w:t>
      </w:r>
      <w:r w:rsidR="00E51A28">
        <w:rPr>
          <w:b/>
        </w:rPr>
        <w:t xml:space="preserve"> </w:t>
      </w:r>
      <w:r w:rsidR="00D96169">
        <w:rPr>
          <w:b/>
        </w:rPr>
        <w:t>DE 201</w:t>
      </w:r>
      <w:r w:rsidR="00303A9E">
        <w:rPr>
          <w:b/>
        </w:rPr>
        <w:t>7</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762C2EC9" w:rsidR="00B2580E" w:rsidRPr="00272BD4" w:rsidRDefault="00E51A28" w:rsidP="00B2580E">
            <w:pPr>
              <w:pStyle w:val="ENCTAB"/>
              <w:spacing w:after="0"/>
              <w:rPr>
                <w:sz w:val="14"/>
                <w:szCs w:val="14"/>
              </w:rPr>
            </w:pPr>
            <w:r>
              <w:rPr>
                <w:sz w:val="14"/>
                <w:szCs w:val="14"/>
              </w:rPr>
              <w:t>2017</w:t>
            </w:r>
          </w:p>
        </w:tc>
        <w:tc>
          <w:tcPr>
            <w:tcW w:w="1418" w:type="dxa"/>
            <w:shd w:val="clear" w:color="auto" w:fill="D2D3D5"/>
            <w:vAlign w:val="center"/>
          </w:tcPr>
          <w:p w14:paraId="53CD9D18" w14:textId="39AC24AD" w:rsidR="00B2580E" w:rsidRPr="00272BD4" w:rsidRDefault="00E51A28" w:rsidP="00B2580E">
            <w:pPr>
              <w:pStyle w:val="ENCTAB"/>
              <w:spacing w:after="0"/>
              <w:rPr>
                <w:sz w:val="14"/>
                <w:szCs w:val="14"/>
              </w:rPr>
            </w:pPr>
            <w:r>
              <w:rPr>
                <w:sz w:val="14"/>
                <w:szCs w:val="14"/>
              </w:rPr>
              <w:t>2016</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4DDF896D" w:rsidR="00B2580E" w:rsidRPr="0063233F" w:rsidRDefault="00AA0FFE" w:rsidP="00006836">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3651723A" w14:textId="2FC9024C" w:rsidR="00B2580E" w:rsidRPr="00AF71CB" w:rsidRDefault="00AA0FFE" w:rsidP="00006836">
            <w:pPr>
              <w:pStyle w:val="TEXTAB"/>
              <w:spacing w:after="0"/>
              <w:ind w:right="237"/>
              <w:jc w:val="right"/>
              <w:rPr>
                <w:sz w:val="12"/>
                <w:szCs w:val="12"/>
                <w:lang w:val="es-ES_tradnl"/>
              </w:rPr>
            </w:pPr>
            <w:r w:rsidRPr="00AF71CB">
              <w:rPr>
                <w:sz w:val="12"/>
                <w:szCs w:val="12"/>
                <w:lang w:val="es-ES_tradnl"/>
              </w:rPr>
              <w:t>5,000.00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54451776" w:rsidR="00B2580E" w:rsidRPr="0063233F" w:rsidRDefault="00714A40" w:rsidP="00006836">
            <w:pPr>
              <w:pStyle w:val="TEXTAB"/>
              <w:spacing w:after="0"/>
              <w:ind w:right="237"/>
              <w:jc w:val="right"/>
              <w:rPr>
                <w:sz w:val="12"/>
                <w:szCs w:val="12"/>
                <w:lang w:val="es-ES_tradnl"/>
              </w:rPr>
            </w:pPr>
            <w:r>
              <w:rPr>
                <w:sz w:val="12"/>
                <w:szCs w:val="12"/>
                <w:lang w:val="es-ES_tradnl"/>
              </w:rPr>
              <w:t>14,373,112.38</w:t>
            </w:r>
          </w:p>
        </w:tc>
        <w:tc>
          <w:tcPr>
            <w:tcW w:w="1418" w:type="dxa"/>
            <w:vAlign w:val="center"/>
          </w:tcPr>
          <w:p w14:paraId="430E79CB" w14:textId="15E97C18" w:rsidR="00B2580E" w:rsidRPr="00AF71CB" w:rsidRDefault="00DF5D4B" w:rsidP="00006836">
            <w:pPr>
              <w:pStyle w:val="TEXTAB"/>
              <w:spacing w:after="0"/>
              <w:ind w:right="237"/>
              <w:jc w:val="right"/>
              <w:rPr>
                <w:sz w:val="12"/>
                <w:szCs w:val="12"/>
                <w:lang w:val="es-ES_tradnl"/>
              </w:rPr>
            </w:pPr>
            <w:r>
              <w:rPr>
                <w:sz w:val="12"/>
                <w:szCs w:val="12"/>
                <w:lang w:val="es-ES_tradnl"/>
              </w:rPr>
              <w:t>12,344,855.34</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7102A978" w:rsidR="00B2580E" w:rsidRPr="0063233F" w:rsidRDefault="00D31C22" w:rsidP="00006836">
            <w:pPr>
              <w:pStyle w:val="TEXTAB"/>
              <w:spacing w:after="0"/>
              <w:ind w:right="237"/>
              <w:jc w:val="right"/>
              <w:rPr>
                <w:sz w:val="12"/>
                <w:szCs w:val="12"/>
                <w:lang w:val="es-ES_tradnl"/>
              </w:rPr>
            </w:pPr>
            <w:r>
              <w:rPr>
                <w:sz w:val="12"/>
                <w:szCs w:val="12"/>
                <w:lang w:val="es-ES_tradnl"/>
              </w:rPr>
              <w:t>15,800.00</w:t>
            </w:r>
          </w:p>
        </w:tc>
        <w:tc>
          <w:tcPr>
            <w:tcW w:w="1418" w:type="dxa"/>
            <w:vAlign w:val="center"/>
          </w:tcPr>
          <w:p w14:paraId="4D918B0A" w14:textId="102B93FF" w:rsidR="00B2580E" w:rsidRPr="00AF71CB" w:rsidRDefault="00AA0FFE" w:rsidP="00006836">
            <w:pPr>
              <w:pStyle w:val="TEXTAB"/>
              <w:spacing w:after="0"/>
              <w:ind w:right="237"/>
              <w:jc w:val="right"/>
              <w:rPr>
                <w:sz w:val="12"/>
                <w:szCs w:val="12"/>
                <w:lang w:val="es-ES_tradnl"/>
              </w:rPr>
            </w:pPr>
            <w:r w:rsidRPr="00AF71CB">
              <w:rPr>
                <w:sz w:val="12"/>
                <w:szCs w:val="12"/>
                <w:lang w:val="es-ES_tradnl"/>
              </w:rPr>
              <w:t>15,000.00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512839C1" w:rsidR="00AA0FFE" w:rsidRDefault="00714A40" w:rsidP="00006836">
            <w:pPr>
              <w:pStyle w:val="TEXTAB"/>
              <w:spacing w:after="0"/>
              <w:ind w:right="237"/>
              <w:jc w:val="right"/>
              <w:rPr>
                <w:sz w:val="12"/>
                <w:szCs w:val="12"/>
                <w:lang w:val="es-ES_tradnl"/>
              </w:rPr>
            </w:pPr>
            <w:r>
              <w:rPr>
                <w:sz w:val="12"/>
                <w:szCs w:val="12"/>
                <w:lang w:val="es-ES_tradnl"/>
              </w:rPr>
              <w:t>117,824.38</w:t>
            </w:r>
          </w:p>
        </w:tc>
        <w:tc>
          <w:tcPr>
            <w:tcW w:w="1418" w:type="dxa"/>
            <w:tcBorders>
              <w:bottom w:val="double" w:sz="4" w:space="0" w:color="auto"/>
            </w:tcBorders>
            <w:vAlign w:val="center"/>
          </w:tcPr>
          <w:p w14:paraId="357F625B" w14:textId="73D2EB95" w:rsidR="00AA0FFE" w:rsidRPr="00AF71CB" w:rsidRDefault="00DF5D4B" w:rsidP="00006836">
            <w:pPr>
              <w:pStyle w:val="TEXTAB"/>
              <w:spacing w:after="0"/>
              <w:ind w:right="237"/>
              <w:jc w:val="right"/>
              <w:rPr>
                <w:sz w:val="12"/>
                <w:szCs w:val="12"/>
                <w:lang w:val="es-ES_tradnl"/>
              </w:rPr>
            </w:pPr>
            <w:r>
              <w:rPr>
                <w:sz w:val="12"/>
                <w:szCs w:val="12"/>
                <w:lang w:val="es-ES_tradnl"/>
              </w:rPr>
              <w:t>51,522.00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2DCE72D" w14:textId="77777777" w:rsidTr="00006836">
        <w:trPr>
          <w:trHeight w:val="280"/>
          <w:jc w:val="center"/>
        </w:trPr>
        <w:tc>
          <w:tcPr>
            <w:tcW w:w="5672"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8F45BF9" w14:textId="20791AF8" w:rsidR="00B2580E" w:rsidRPr="0063233F" w:rsidRDefault="00714A40" w:rsidP="00006836">
            <w:pPr>
              <w:pStyle w:val="TEXTAB"/>
              <w:spacing w:after="0"/>
              <w:ind w:right="237"/>
              <w:jc w:val="right"/>
              <w:rPr>
                <w:sz w:val="12"/>
                <w:szCs w:val="12"/>
                <w:lang w:val="es-ES_tradnl"/>
              </w:rPr>
            </w:pPr>
            <w:r>
              <w:rPr>
                <w:sz w:val="12"/>
                <w:szCs w:val="12"/>
                <w:lang w:val="es-ES_tradnl"/>
              </w:rPr>
              <w:t>14,511,736.76</w:t>
            </w:r>
          </w:p>
        </w:tc>
        <w:tc>
          <w:tcPr>
            <w:tcW w:w="1418" w:type="dxa"/>
            <w:shd w:val="clear" w:color="auto" w:fill="D2D3D5"/>
            <w:vAlign w:val="center"/>
          </w:tcPr>
          <w:p w14:paraId="41793B18" w14:textId="3318EEB3" w:rsidR="00B2580E" w:rsidRPr="0063233F" w:rsidRDefault="00DF5D4B" w:rsidP="00006836">
            <w:pPr>
              <w:pStyle w:val="TEXTAB"/>
              <w:spacing w:after="0"/>
              <w:ind w:right="237"/>
              <w:jc w:val="right"/>
              <w:rPr>
                <w:sz w:val="12"/>
                <w:szCs w:val="12"/>
                <w:lang w:val="es-ES_tradnl"/>
              </w:rPr>
            </w:pPr>
            <w:r>
              <w:rPr>
                <w:sz w:val="12"/>
                <w:szCs w:val="12"/>
                <w:lang w:val="es-ES_tradnl"/>
              </w:rPr>
              <w:t>12,416,377.34</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77777777" w:rsidR="005D230D" w:rsidRDefault="005D230D" w:rsidP="005D230D">
      <w:pPr>
        <w:pStyle w:val="documento"/>
      </w:pPr>
      <w:r>
        <w:t>Mobiliario y equipo de administración:</w:t>
      </w:r>
    </w:p>
    <w:p w14:paraId="5AB43ADC" w14:textId="77777777" w:rsidR="005D230D" w:rsidRDefault="005D230D" w:rsidP="005D230D">
      <w:pPr>
        <w:pStyle w:val="documento"/>
        <w:tabs>
          <w:tab w:val="left" w:pos="3402"/>
        </w:tabs>
      </w:pPr>
      <w:r>
        <w:t xml:space="preserve">Mobiliario y equipo de oficina </w:t>
      </w:r>
      <w:r>
        <w:tab/>
        <w:t>10 %</w:t>
      </w:r>
    </w:p>
    <w:p w14:paraId="4F42E6C2" w14:textId="77777777" w:rsidR="005D230D" w:rsidRDefault="005D230D" w:rsidP="005D230D">
      <w:pPr>
        <w:pStyle w:val="documento"/>
        <w:tabs>
          <w:tab w:val="left" w:pos="3402"/>
        </w:tabs>
      </w:pPr>
      <w:r>
        <w:t>Equipo informático</w:t>
      </w:r>
      <w:r>
        <w:tab/>
        <w:t>30 %</w:t>
      </w:r>
    </w:p>
    <w:p w14:paraId="549B7C56" w14:textId="77777777" w:rsidR="005D230D" w:rsidRDefault="005D230D" w:rsidP="005D230D">
      <w:pPr>
        <w:pStyle w:val="documento"/>
      </w:pPr>
    </w:p>
    <w:p w14:paraId="6BFDE39A" w14:textId="77777777" w:rsidR="005D230D" w:rsidRDefault="005D230D" w:rsidP="005D230D">
      <w:pPr>
        <w:pStyle w:val="documento"/>
      </w:pPr>
      <w:r>
        <w:t>Mobiliario y Equipo Educacional y Recreativo:</w:t>
      </w:r>
    </w:p>
    <w:p w14:paraId="06118E86" w14:textId="77777777" w:rsidR="005D230D" w:rsidRDefault="005D230D" w:rsidP="005D230D">
      <w:pPr>
        <w:pStyle w:val="documento"/>
        <w:tabs>
          <w:tab w:val="left" w:pos="3402"/>
        </w:tabs>
      </w:pPr>
      <w:r>
        <w:t>Equipo audiovisual y de video</w:t>
      </w:r>
      <w:r>
        <w:tab/>
        <w:t>10 %</w:t>
      </w:r>
    </w:p>
    <w:p w14:paraId="6A955CA8" w14:textId="77777777" w:rsidR="005D230D" w:rsidRDefault="005D230D" w:rsidP="005D230D">
      <w:pPr>
        <w:pStyle w:val="documento"/>
      </w:pPr>
    </w:p>
    <w:p w14:paraId="7F1078C9" w14:textId="77777777" w:rsidR="005D230D" w:rsidRDefault="005D230D" w:rsidP="005D230D">
      <w:pPr>
        <w:pStyle w:val="documento"/>
      </w:pPr>
      <w: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519A51D8" w14:textId="77777777" w:rsidR="005D230D" w:rsidRDefault="005D230D" w:rsidP="005D230D">
      <w:pPr>
        <w:pStyle w:val="documento"/>
      </w:pPr>
      <w:r>
        <w:t>Maquinaria, otros equipos y herramientas:</w:t>
      </w:r>
    </w:p>
    <w:p w14:paraId="2842AFCD" w14:textId="77777777" w:rsidR="005D230D" w:rsidRDefault="005D230D" w:rsidP="005D230D">
      <w:pPr>
        <w:pStyle w:val="documento"/>
        <w:tabs>
          <w:tab w:val="left" w:pos="3402"/>
        </w:tabs>
      </w:pPr>
      <w:r>
        <w:lastRenderedPageBreak/>
        <w:t>Equipo de comunicación</w:t>
      </w:r>
      <w:r>
        <w:tab/>
        <w:t>10 %</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2895D4DB" w14:textId="77777777" w:rsidR="005D230D" w:rsidRDefault="005D230D" w:rsidP="005D230D">
      <w:pPr>
        <w:pStyle w:val="documento"/>
      </w:pPr>
    </w:p>
    <w:p w14:paraId="17139A1F" w14:textId="7FBC0351" w:rsidR="005D230D" w:rsidRDefault="005D230D" w:rsidP="005D230D">
      <w:pPr>
        <w:pStyle w:val="documento"/>
      </w:pPr>
      <w:r w:rsidRPr="00FB4ABE">
        <w:t xml:space="preserve">El monto de la depreciación acumulada fue de </w:t>
      </w:r>
      <w:r w:rsidR="00B65EAA" w:rsidRPr="00FB4ABE">
        <w:t>$</w:t>
      </w:r>
      <w:r w:rsidR="003A3374">
        <w:t>23,583,187.46</w:t>
      </w:r>
      <w:r w:rsidR="00B65EAA" w:rsidRPr="00FB4ABE">
        <w:t xml:space="preserve"> </w:t>
      </w:r>
      <w:r w:rsidRPr="00FB4ABE">
        <w:t xml:space="preserve">y la amortización acumulada de </w:t>
      </w:r>
      <w:r w:rsidR="00B65EAA" w:rsidRPr="00FB4ABE">
        <w:t>$</w:t>
      </w:r>
      <w:r w:rsidR="003A3374">
        <w:t>3,165,804.92</w:t>
      </w:r>
      <w:r w:rsidR="00E51A28" w:rsidRPr="00FB4ABE">
        <w:t xml:space="preserve">. </w:t>
      </w:r>
      <w:r w:rsidRPr="00FB4ABE">
        <w:t xml:space="preserve">La depreciación y amortización </w:t>
      </w:r>
      <w:r w:rsidR="00E51A28" w:rsidRPr="00FB4ABE">
        <w:t xml:space="preserve">a </w:t>
      </w:r>
      <w:r w:rsidR="003A3374">
        <w:t>septiembre</w:t>
      </w:r>
      <w:r w:rsidR="00B70523">
        <w:t xml:space="preserve"> </w:t>
      </w:r>
      <w:r w:rsidR="00E51A28" w:rsidRPr="00FB4ABE">
        <w:t xml:space="preserve">de 2017 es de </w:t>
      </w:r>
      <w:r w:rsidR="00B65EAA" w:rsidRPr="00FB4ABE">
        <w:t>$</w:t>
      </w:r>
      <w:r w:rsidR="00C57F33">
        <w:t>1,948,627.87</w:t>
      </w:r>
      <w:r w:rsidRPr="00FB4ABE">
        <w:t xml:space="preserve"> y </w:t>
      </w:r>
      <w:r w:rsidR="00B65EAA" w:rsidRPr="00FB4ABE">
        <w:t>$</w:t>
      </w:r>
      <w:r w:rsidR="00EE6A18">
        <w:t>2</w:t>
      </w:r>
      <w:r w:rsidR="00C57F33">
        <w:t>25,061.81</w:t>
      </w:r>
      <w:r w:rsidR="00B65EAA" w:rsidRPr="00FB4ABE">
        <w:t xml:space="preserve">, </w:t>
      </w:r>
      <w:r w:rsidRPr="00FB4ABE">
        <w:t>respectivamente.</w:t>
      </w:r>
    </w:p>
    <w:p w14:paraId="660C5274" w14:textId="77777777" w:rsidR="005D230D" w:rsidRDefault="005D230D" w:rsidP="005D230D">
      <w:pPr>
        <w:pStyle w:val="documento"/>
      </w:pPr>
    </w:p>
    <w:p w14:paraId="01C41904" w14:textId="77777777"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8DC317B" w:rsidR="00B2580E" w:rsidRPr="00272BD4" w:rsidRDefault="008027BE" w:rsidP="00006836">
            <w:pPr>
              <w:pStyle w:val="ENCTAB"/>
              <w:spacing w:after="0"/>
              <w:rPr>
                <w:sz w:val="14"/>
                <w:szCs w:val="14"/>
              </w:rPr>
            </w:pPr>
            <w:r>
              <w:rPr>
                <w:sz w:val="14"/>
                <w:szCs w:val="14"/>
              </w:rPr>
              <w:t>2017</w:t>
            </w:r>
          </w:p>
        </w:tc>
        <w:tc>
          <w:tcPr>
            <w:tcW w:w="1418" w:type="dxa"/>
            <w:shd w:val="clear" w:color="auto" w:fill="D2D3D5"/>
            <w:vAlign w:val="center"/>
          </w:tcPr>
          <w:p w14:paraId="52FFA307" w14:textId="27F0EFE8" w:rsidR="00B2580E" w:rsidRPr="00272BD4" w:rsidRDefault="008027BE" w:rsidP="006A195E">
            <w:pPr>
              <w:pStyle w:val="ENCTAB"/>
              <w:spacing w:after="0"/>
              <w:rPr>
                <w:sz w:val="14"/>
                <w:szCs w:val="14"/>
              </w:rPr>
            </w:pPr>
            <w:r>
              <w:rPr>
                <w:sz w:val="14"/>
                <w:szCs w:val="14"/>
              </w:rPr>
              <w:t>2016</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6A195E" w:rsidRPr="0063233F" w14:paraId="2ECF8144" w14:textId="77777777" w:rsidTr="00006836">
        <w:trPr>
          <w:trHeight w:val="280"/>
          <w:jc w:val="center"/>
        </w:trPr>
        <w:tc>
          <w:tcPr>
            <w:tcW w:w="5672" w:type="dxa"/>
            <w:vAlign w:val="center"/>
          </w:tcPr>
          <w:p w14:paraId="6F0177AC" w14:textId="152B3903" w:rsidR="006A195E" w:rsidRPr="0063233F" w:rsidRDefault="004A536E" w:rsidP="00006836">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1623AC79" w:rsidR="006A195E" w:rsidRPr="0063233F" w:rsidRDefault="008027BE" w:rsidP="00006836">
            <w:pPr>
              <w:pStyle w:val="TEXTAB"/>
              <w:spacing w:after="0"/>
              <w:ind w:right="237"/>
              <w:jc w:val="right"/>
              <w:rPr>
                <w:sz w:val="12"/>
                <w:szCs w:val="12"/>
                <w:lang w:val="es-ES_tradnl"/>
              </w:rPr>
            </w:pPr>
            <w:r>
              <w:rPr>
                <w:sz w:val="12"/>
                <w:szCs w:val="12"/>
                <w:lang w:val="es-ES_tradnl"/>
              </w:rPr>
              <w:t>18,934,957.81</w:t>
            </w:r>
          </w:p>
        </w:tc>
        <w:tc>
          <w:tcPr>
            <w:tcW w:w="1418" w:type="dxa"/>
            <w:vAlign w:val="center"/>
          </w:tcPr>
          <w:p w14:paraId="3F18A06E" w14:textId="39723748" w:rsidR="006A195E" w:rsidRPr="0063233F" w:rsidRDefault="003F07B5" w:rsidP="00006836">
            <w:pPr>
              <w:pStyle w:val="TEXTAB"/>
              <w:spacing w:after="0"/>
              <w:ind w:right="237"/>
              <w:jc w:val="right"/>
              <w:rPr>
                <w:sz w:val="12"/>
                <w:szCs w:val="12"/>
                <w:lang w:val="es-ES_tradnl"/>
              </w:rPr>
            </w:pPr>
            <w:r>
              <w:rPr>
                <w:sz w:val="12"/>
                <w:szCs w:val="12"/>
                <w:lang w:val="es-ES_tradnl"/>
              </w:rPr>
              <w:t>18,464,837.99</w:t>
            </w:r>
          </w:p>
        </w:tc>
      </w:tr>
      <w:tr w:rsidR="004A536E" w:rsidRPr="0063233F" w14:paraId="7CABFE3B" w14:textId="77777777" w:rsidTr="00006836">
        <w:trPr>
          <w:trHeight w:val="280"/>
          <w:jc w:val="center"/>
        </w:trPr>
        <w:tc>
          <w:tcPr>
            <w:tcW w:w="5672" w:type="dxa"/>
            <w:vAlign w:val="center"/>
          </w:tcPr>
          <w:p w14:paraId="081FAB21" w14:textId="7CFA28E2" w:rsidR="004A536E" w:rsidRDefault="004A536E" w:rsidP="00006836">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4144F97A" w:rsidR="004A536E" w:rsidRPr="0063233F" w:rsidRDefault="00164347" w:rsidP="00006836">
            <w:pPr>
              <w:pStyle w:val="TEXTAB"/>
              <w:spacing w:after="0"/>
              <w:ind w:right="237"/>
              <w:jc w:val="right"/>
              <w:rPr>
                <w:sz w:val="12"/>
                <w:szCs w:val="12"/>
                <w:lang w:val="es-ES_tradnl"/>
              </w:rPr>
            </w:pPr>
            <w:r>
              <w:rPr>
                <w:sz w:val="12"/>
                <w:szCs w:val="12"/>
                <w:lang w:val="es-ES_tradnl"/>
              </w:rPr>
              <w:t>1,464,710.99</w:t>
            </w:r>
          </w:p>
        </w:tc>
        <w:tc>
          <w:tcPr>
            <w:tcW w:w="1418" w:type="dxa"/>
            <w:vAlign w:val="center"/>
          </w:tcPr>
          <w:p w14:paraId="6710702B" w14:textId="47910DDE" w:rsidR="004A536E" w:rsidRPr="0063233F" w:rsidRDefault="004A536E" w:rsidP="00006836">
            <w:pPr>
              <w:pStyle w:val="TEXTAB"/>
              <w:spacing w:after="0"/>
              <w:ind w:right="237"/>
              <w:jc w:val="right"/>
              <w:rPr>
                <w:sz w:val="12"/>
                <w:szCs w:val="12"/>
                <w:lang w:val="es-ES_tradnl"/>
              </w:rPr>
            </w:pPr>
            <w:r>
              <w:rPr>
                <w:sz w:val="12"/>
                <w:szCs w:val="12"/>
                <w:lang w:val="es-ES_tradnl"/>
              </w:rPr>
              <w:t>1,436,314.19</w:t>
            </w:r>
          </w:p>
        </w:tc>
      </w:tr>
      <w:tr w:rsidR="004A536E" w:rsidRPr="0063233F" w14:paraId="4EF9EA5C" w14:textId="77777777" w:rsidTr="00006836">
        <w:trPr>
          <w:trHeight w:val="280"/>
          <w:jc w:val="center"/>
        </w:trPr>
        <w:tc>
          <w:tcPr>
            <w:tcW w:w="5672" w:type="dxa"/>
            <w:vAlign w:val="center"/>
          </w:tcPr>
          <w:p w14:paraId="364544D5" w14:textId="23FF57D8" w:rsidR="004A536E" w:rsidRDefault="004A536E" w:rsidP="00006836">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0E239511" w:rsidR="004A536E" w:rsidRPr="0063233F" w:rsidRDefault="00164347" w:rsidP="00006836">
            <w:pPr>
              <w:pStyle w:val="TEXTAB"/>
              <w:spacing w:after="0"/>
              <w:ind w:right="237"/>
              <w:jc w:val="right"/>
              <w:rPr>
                <w:sz w:val="12"/>
                <w:szCs w:val="12"/>
                <w:lang w:val="es-ES_tradnl"/>
              </w:rPr>
            </w:pPr>
            <w:r>
              <w:rPr>
                <w:sz w:val="12"/>
                <w:szCs w:val="12"/>
                <w:lang w:val="es-ES_tradnl"/>
              </w:rPr>
              <w:t>5,528,782.00</w:t>
            </w:r>
          </w:p>
        </w:tc>
        <w:tc>
          <w:tcPr>
            <w:tcW w:w="1418" w:type="dxa"/>
            <w:vAlign w:val="center"/>
          </w:tcPr>
          <w:p w14:paraId="176D1637" w14:textId="22CDC5F5" w:rsidR="004A536E" w:rsidRPr="0063233F" w:rsidRDefault="004A536E" w:rsidP="00006836">
            <w:pPr>
              <w:pStyle w:val="TEXTAB"/>
              <w:spacing w:after="0"/>
              <w:ind w:right="237"/>
              <w:jc w:val="right"/>
              <w:rPr>
                <w:sz w:val="12"/>
                <w:szCs w:val="12"/>
                <w:lang w:val="es-ES_tradnl"/>
              </w:rPr>
            </w:pPr>
            <w:r>
              <w:rPr>
                <w:sz w:val="12"/>
                <w:szCs w:val="12"/>
                <w:lang w:val="es-ES_tradnl"/>
              </w:rPr>
              <w:t>5,528,782.00</w:t>
            </w:r>
          </w:p>
        </w:tc>
      </w:tr>
      <w:tr w:rsidR="006A195E" w:rsidRPr="0063233F" w14:paraId="1E59AD85" w14:textId="77777777" w:rsidTr="00D07603">
        <w:trPr>
          <w:trHeight w:val="280"/>
          <w:jc w:val="center"/>
        </w:trPr>
        <w:tc>
          <w:tcPr>
            <w:tcW w:w="5672" w:type="dxa"/>
            <w:tcBorders>
              <w:bottom w:val="nil"/>
            </w:tcBorders>
            <w:vAlign w:val="center"/>
          </w:tcPr>
          <w:p w14:paraId="699ED75B" w14:textId="15D9C91F" w:rsidR="006A195E" w:rsidRPr="0063233F" w:rsidRDefault="004A536E" w:rsidP="00006836">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061A5531" w:rsidR="006A195E" w:rsidRPr="0063233F" w:rsidRDefault="00164347" w:rsidP="00006836">
            <w:pPr>
              <w:pStyle w:val="TEXTAB"/>
              <w:spacing w:after="0"/>
              <w:ind w:right="237"/>
              <w:jc w:val="right"/>
              <w:rPr>
                <w:sz w:val="12"/>
                <w:szCs w:val="12"/>
                <w:lang w:val="es-ES_tradnl"/>
              </w:rPr>
            </w:pPr>
            <w:r>
              <w:rPr>
                <w:sz w:val="12"/>
                <w:szCs w:val="12"/>
                <w:lang w:val="es-ES_tradnl"/>
              </w:rPr>
              <w:t>1,969,758.16</w:t>
            </w:r>
          </w:p>
        </w:tc>
        <w:tc>
          <w:tcPr>
            <w:tcW w:w="1418" w:type="dxa"/>
            <w:tcBorders>
              <w:bottom w:val="nil"/>
            </w:tcBorders>
            <w:vAlign w:val="center"/>
          </w:tcPr>
          <w:p w14:paraId="00D59FA2" w14:textId="4B300658" w:rsidR="006A195E" w:rsidRPr="0063233F" w:rsidRDefault="004A536E" w:rsidP="00006836">
            <w:pPr>
              <w:pStyle w:val="TEXTAB"/>
              <w:spacing w:after="0"/>
              <w:ind w:right="237"/>
              <w:jc w:val="right"/>
              <w:rPr>
                <w:sz w:val="12"/>
                <w:szCs w:val="12"/>
                <w:lang w:val="es-ES_tradnl"/>
              </w:rPr>
            </w:pPr>
            <w:r>
              <w:rPr>
                <w:sz w:val="12"/>
                <w:szCs w:val="12"/>
                <w:lang w:val="es-ES_tradnl"/>
              </w:rPr>
              <w:t>1,969,758.16</w:t>
            </w:r>
          </w:p>
        </w:tc>
      </w:tr>
      <w:tr w:rsidR="006A195E" w:rsidRPr="0063233F" w14:paraId="5FED17A5" w14:textId="77777777" w:rsidTr="00D07603">
        <w:trPr>
          <w:trHeight w:val="280"/>
          <w:jc w:val="center"/>
        </w:trPr>
        <w:tc>
          <w:tcPr>
            <w:tcW w:w="5672" w:type="dxa"/>
            <w:tcBorders>
              <w:bottom w:val="nil"/>
            </w:tcBorders>
            <w:vAlign w:val="center"/>
          </w:tcPr>
          <w:p w14:paraId="71628C79" w14:textId="5F0560F5" w:rsidR="006A195E" w:rsidRPr="0063233F" w:rsidRDefault="004A536E" w:rsidP="00006836">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153CA7D7" w:rsidR="006A195E" w:rsidRPr="0063233F" w:rsidRDefault="00164347" w:rsidP="00006836">
            <w:pPr>
              <w:pStyle w:val="TEXTAB"/>
              <w:spacing w:after="0"/>
              <w:ind w:right="237"/>
              <w:jc w:val="right"/>
              <w:rPr>
                <w:sz w:val="12"/>
                <w:szCs w:val="12"/>
                <w:lang w:val="es-ES_tradnl"/>
              </w:rPr>
            </w:pPr>
            <w:r>
              <w:rPr>
                <w:sz w:val="12"/>
                <w:szCs w:val="12"/>
                <w:lang w:val="es-ES_tradnl"/>
              </w:rPr>
              <w:t>31,262.00</w:t>
            </w:r>
          </w:p>
        </w:tc>
        <w:tc>
          <w:tcPr>
            <w:tcW w:w="1418" w:type="dxa"/>
            <w:tcBorders>
              <w:bottom w:val="single" w:sz="4" w:space="0" w:color="auto"/>
            </w:tcBorders>
            <w:vAlign w:val="center"/>
          </w:tcPr>
          <w:p w14:paraId="4FE6AFA4" w14:textId="0C703C9B" w:rsidR="006A195E" w:rsidRPr="0063233F" w:rsidRDefault="004A536E" w:rsidP="00006836">
            <w:pPr>
              <w:pStyle w:val="TEXTAB"/>
              <w:spacing w:after="0"/>
              <w:ind w:right="237"/>
              <w:jc w:val="right"/>
              <w:rPr>
                <w:sz w:val="12"/>
                <w:szCs w:val="12"/>
                <w:lang w:val="es-ES_tradnl"/>
              </w:rPr>
            </w:pPr>
            <w:r>
              <w:rPr>
                <w:sz w:val="12"/>
                <w:szCs w:val="12"/>
                <w:lang w:val="es-ES_tradnl"/>
              </w:rPr>
              <w:t>31,262.00</w:t>
            </w:r>
          </w:p>
        </w:tc>
      </w:tr>
      <w:tr w:rsidR="008C5AB9" w:rsidRPr="0063233F" w14:paraId="130A14B1" w14:textId="77777777" w:rsidTr="00D07603">
        <w:trPr>
          <w:trHeight w:val="280"/>
          <w:jc w:val="center"/>
        </w:trPr>
        <w:tc>
          <w:tcPr>
            <w:tcW w:w="5672" w:type="dxa"/>
            <w:tcBorders>
              <w:top w:val="nil"/>
            </w:tcBorders>
            <w:vAlign w:val="center"/>
          </w:tcPr>
          <w:p w14:paraId="237FFC72" w14:textId="1D09B0AC" w:rsidR="008C5AB9" w:rsidRDefault="008C5AB9" w:rsidP="00563E16">
            <w:pPr>
              <w:pStyle w:val="TEXTAB"/>
              <w:spacing w:after="0"/>
              <w:ind w:right="237"/>
              <w:jc w:val="right"/>
              <w:rPr>
                <w:sz w:val="12"/>
                <w:szCs w:val="12"/>
                <w:lang w:val="es-ES_tradnl"/>
              </w:rPr>
            </w:pPr>
            <w:r>
              <w:rPr>
                <w:sz w:val="12"/>
                <w:szCs w:val="12"/>
                <w:lang w:val="es-ES_tradnl"/>
              </w:rPr>
              <w:t>SUBTOTA</w:t>
            </w:r>
            <w:r w:rsidR="00563E16">
              <w:rPr>
                <w:sz w:val="12"/>
                <w:szCs w:val="12"/>
                <w:lang w:val="es-ES_tradnl"/>
              </w:rPr>
              <w:t>L</w:t>
            </w:r>
          </w:p>
        </w:tc>
        <w:tc>
          <w:tcPr>
            <w:tcW w:w="1418" w:type="dxa"/>
            <w:tcBorders>
              <w:top w:val="single" w:sz="4" w:space="0" w:color="auto"/>
            </w:tcBorders>
            <w:vAlign w:val="center"/>
          </w:tcPr>
          <w:p w14:paraId="000455B8" w14:textId="3173DE34" w:rsidR="008C5AB9" w:rsidRDefault="008027BE" w:rsidP="008027BE">
            <w:pPr>
              <w:pStyle w:val="TEXTAB"/>
              <w:spacing w:after="0"/>
              <w:ind w:right="237"/>
              <w:jc w:val="right"/>
              <w:rPr>
                <w:sz w:val="12"/>
                <w:szCs w:val="12"/>
                <w:lang w:val="es-ES_tradnl"/>
              </w:rPr>
            </w:pPr>
            <w:r>
              <w:rPr>
                <w:sz w:val="12"/>
                <w:szCs w:val="12"/>
                <w:lang w:val="es-ES_tradnl"/>
              </w:rPr>
              <w:t>27,929</w:t>
            </w:r>
            <w:r w:rsidR="008C5AB9">
              <w:rPr>
                <w:sz w:val="12"/>
                <w:szCs w:val="12"/>
                <w:lang w:val="es-ES_tradnl"/>
              </w:rPr>
              <w:t>,</w:t>
            </w:r>
            <w:r>
              <w:rPr>
                <w:sz w:val="12"/>
                <w:szCs w:val="12"/>
                <w:lang w:val="es-ES_tradnl"/>
              </w:rPr>
              <w:t>470</w:t>
            </w:r>
            <w:r w:rsidR="008C5AB9">
              <w:rPr>
                <w:sz w:val="12"/>
                <w:szCs w:val="12"/>
                <w:lang w:val="es-ES_tradnl"/>
              </w:rPr>
              <w:t>.</w:t>
            </w:r>
            <w:r>
              <w:rPr>
                <w:sz w:val="12"/>
                <w:szCs w:val="12"/>
                <w:lang w:val="es-ES_tradnl"/>
              </w:rPr>
              <w:t>96</w:t>
            </w:r>
          </w:p>
        </w:tc>
        <w:tc>
          <w:tcPr>
            <w:tcW w:w="1418" w:type="dxa"/>
            <w:tcBorders>
              <w:top w:val="single" w:sz="4" w:space="0" w:color="auto"/>
            </w:tcBorders>
            <w:vAlign w:val="center"/>
          </w:tcPr>
          <w:p w14:paraId="41591F14" w14:textId="69E4BE16" w:rsidR="008C5AB9" w:rsidRDefault="003F07B5" w:rsidP="00006836">
            <w:pPr>
              <w:pStyle w:val="TEXTAB"/>
              <w:spacing w:after="0"/>
              <w:ind w:right="237"/>
              <w:jc w:val="right"/>
              <w:rPr>
                <w:sz w:val="12"/>
                <w:szCs w:val="12"/>
                <w:lang w:val="es-ES_tradnl"/>
              </w:rPr>
            </w:pPr>
            <w:r>
              <w:rPr>
                <w:sz w:val="12"/>
                <w:szCs w:val="12"/>
                <w:lang w:val="es-ES_tradnl"/>
              </w:rPr>
              <w:t>27,430,954.34</w:t>
            </w:r>
          </w:p>
        </w:tc>
      </w:tr>
      <w:tr w:rsidR="00485A05" w:rsidRPr="0063233F" w14:paraId="7694FCE1" w14:textId="77777777" w:rsidTr="00563E16">
        <w:trPr>
          <w:trHeight w:val="280"/>
          <w:jc w:val="center"/>
        </w:trPr>
        <w:tc>
          <w:tcPr>
            <w:tcW w:w="5672" w:type="dxa"/>
            <w:tcBorders>
              <w:bottom w:val="nil"/>
            </w:tcBorders>
            <w:vAlign w:val="center"/>
          </w:tcPr>
          <w:p w14:paraId="70F31205" w14:textId="77777777" w:rsidR="00485A05" w:rsidRDefault="00485A05" w:rsidP="00006836">
            <w:pPr>
              <w:pStyle w:val="TEXTAB"/>
              <w:spacing w:after="0"/>
              <w:ind w:right="237"/>
              <w:rPr>
                <w:sz w:val="12"/>
                <w:szCs w:val="12"/>
                <w:lang w:val="es-ES_tradnl"/>
              </w:rPr>
            </w:pPr>
          </w:p>
        </w:tc>
        <w:tc>
          <w:tcPr>
            <w:tcW w:w="1418" w:type="dxa"/>
            <w:tcBorders>
              <w:bottom w:val="nil"/>
            </w:tcBorders>
            <w:vAlign w:val="center"/>
          </w:tcPr>
          <w:p w14:paraId="38073B7C" w14:textId="77777777" w:rsidR="00485A05" w:rsidRDefault="00485A05" w:rsidP="00006836">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485A05" w:rsidRDefault="00485A05" w:rsidP="00006836">
            <w:pPr>
              <w:pStyle w:val="TEXTAB"/>
              <w:spacing w:after="0"/>
              <w:ind w:right="237"/>
              <w:jc w:val="right"/>
              <w:rPr>
                <w:sz w:val="12"/>
                <w:szCs w:val="12"/>
                <w:lang w:val="es-ES_tradnl"/>
              </w:rPr>
            </w:pPr>
          </w:p>
        </w:tc>
      </w:tr>
      <w:tr w:rsidR="006A195E" w:rsidRPr="0063233F" w14:paraId="1DA17F72" w14:textId="77777777" w:rsidTr="00D07603">
        <w:trPr>
          <w:trHeight w:val="114"/>
          <w:jc w:val="center"/>
        </w:trPr>
        <w:tc>
          <w:tcPr>
            <w:tcW w:w="5672" w:type="dxa"/>
            <w:tcBorders>
              <w:bottom w:val="nil"/>
            </w:tcBorders>
            <w:vAlign w:val="center"/>
          </w:tcPr>
          <w:p w14:paraId="25B0F274" w14:textId="6C6587C5" w:rsidR="006A195E" w:rsidRPr="0063233F" w:rsidRDefault="004A536E" w:rsidP="00006836">
            <w:pPr>
              <w:pStyle w:val="TEXTAB"/>
              <w:spacing w:after="0"/>
              <w:ind w:right="237"/>
              <w:rPr>
                <w:sz w:val="12"/>
                <w:szCs w:val="12"/>
                <w:lang w:val="es-ES_tradnl"/>
              </w:rPr>
            </w:pPr>
            <w:r>
              <w:rPr>
                <w:sz w:val="12"/>
                <w:szCs w:val="12"/>
                <w:lang w:val="es-ES_tradnl"/>
              </w:rPr>
              <w:t>SOFTWARE</w:t>
            </w:r>
          </w:p>
        </w:tc>
        <w:tc>
          <w:tcPr>
            <w:tcW w:w="1418" w:type="dxa"/>
            <w:tcBorders>
              <w:bottom w:val="nil"/>
            </w:tcBorders>
            <w:vAlign w:val="center"/>
          </w:tcPr>
          <w:p w14:paraId="105219FF" w14:textId="52FFB095" w:rsidR="006A195E" w:rsidRPr="0063233F" w:rsidRDefault="00164347" w:rsidP="00006836">
            <w:pPr>
              <w:pStyle w:val="TEXTAB"/>
              <w:spacing w:after="0"/>
              <w:ind w:right="237"/>
              <w:jc w:val="right"/>
              <w:rPr>
                <w:sz w:val="12"/>
                <w:szCs w:val="12"/>
                <w:lang w:val="es-ES_tradnl"/>
              </w:rPr>
            </w:pPr>
            <w:r>
              <w:rPr>
                <w:sz w:val="12"/>
                <w:szCs w:val="12"/>
                <w:lang w:val="es-ES_tradnl"/>
              </w:rPr>
              <w:t>36,297.21</w:t>
            </w:r>
          </w:p>
        </w:tc>
        <w:tc>
          <w:tcPr>
            <w:tcW w:w="1418" w:type="dxa"/>
            <w:tcBorders>
              <w:bottom w:val="nil"/>
            </w:tcBorders>
            <w:vAlign w:val="center"/>
          </w:tcPr>
          <w:p w14:paraId="38BBF48C" w14:textId="48D1C998" w:rsidR="006A195E" w:rsidRPr="0063233F" w:rsidRDefault="004A536E" w:rsidP="00006836">
            <w:pPr>
              <w:pStyle w:val="TEXTAB"/>
              <w:spacing w:after="0"/>
              <w:ind w:right="237"/>
              <w:jc w:val="right"/>
              <w:rPr>
                <w:sz w:val="12"/>
                <w:szCs w:val="12"/>
                <w:lang w:val="es-ES_tradnl"/>
              </w:rPr>
            </w:pPr>
            <w:r>
              <w:rPr>
                <w:sz w:val="12"/>
                <w:szCs w:val="12"/>
                <w:lang w:val="es-ES_tradnl"/>
              </w:rPr>
              <w:t>36,297.21</w:t>
            </w:r>
          </w:p>
        </w:tc>
      </w:tr>
      <w:tr w:rsidR="006A195E" w:rsidRPr="0063233F" w14:paraId="5523950B" w14:textId="77777777" w:rsidTr="00D07603">
        <w:trPr>
          <w:trHeight w:val="280"/>
          <w:jc w:val="center"/>
        </w:trPr>
        <w:tc>
          <w:tcPr>
            <w:tcW w:w="5672" w:type="dxa"/>
            <w:tcBorders>
              <w:bottom w:val="nil"/>
            </w:tcBorders>
            <w:vAlign w:val="center"/>
          </w:tcPr>
          <w:p w14:paraId="57A2F10F" w14:textId="0E167892" w:rsidR="006A195E" w:rsidRPr="0063233F" w:rsidRDefault="004A536E" w:rsidP="00006836">
            <w:pPr>
              <w:pStyle w:val="TEXTAB"/>
              <w:spacing w:after="0"/>
              <w:ind w:right="237"/>
              <w:rPr>
                <w:sz w:val="12"/>
                <w:szCs w:val="12"/>
                <w:lang w:val="es-ES_tradnl"/>
              </w:rPr>
            </w:pPr>
            <w:r>
              <w:rPr>
                <w:sz w:val="12"/>
                <w:szCs w:val="12"/>
                <w:lang w:val="es-ES_tradnl"/>
              </w:rPr>
              <w:t>LICENCIAS</w:t>
            </w:r>
          </w:p>
        </w:tc>
        <w:tc>
          <w:tcPr>
            <w:tcW w:w="1418" w:type="dxa"/>
            <w:tcBorders>
              <w:bottom w:val="single" w:sz="4" w:space="0" w:color="auto"/>
            </w:tcBorders>
            <w:vAlign w:val="center"/>
          </w:tcPr>
          <w:p w14:paraId="2106B294" w14:textId="3375E0C4" w:rsidR="006A195E" w:rsidRPr="0063233F" w:rsidRDefault="00164347" w:rsidP="008027BE">
            <w:pPr>
              <w:pStyle w:val="TEXTAB"/>
              <w:spacing w:after="0"/>
              <w:ind w:right="237"/>
              <w:jc w:val="right"/>
              <w:rPr>
                <w:sz w:val="12"/>
                <w:szCs w:val="12"/>
                <w:lang w:val="es-ES_tradnl"/>
              </w:rPr>
            </w:pPr>
            <w:r>
              <w:rPr>
                <w:sz w:val="12"/>
                <w:szCs w:val="12"/>
                <w:lang w:val="es-ES_tradnl"/>
              </w:rPr>
              <w:t>3,</w:t>
            </w:r>
            <w:r w:rsidR="008027BE">
              <w:rPr>
                <w:sz w:val="12"/>
                <w:szCs w:val="12"/>
                <w:lang w:val="es-ES_tradnl"/>
              </w:rPr>
              <w:t>395</w:t>
            </w:r>
            <w:r>
              <w:rPr>
                <w:sz w:val="12"/>
                <w:szCs w:val="12"/>
                <w:lang w:val="es-ES_tradnl"/>
              </w:rPr>
              <w:t>,</w:t>
            </w:r>
            <w:r w:rsidR="008027BE">
              <w:rPr>
                <w:sz w:val="12"/>
                <w:szCs w:val="12"/>
                <w:lang w:val="es-ES_tradnl"/>
              </w:rPr>
              <w:t>359</w:t>
            </w:r>
            <w:r>
              <w:rPr>
                <w:sz w:val="12"/>
                <w:szCs w:val="12"/>
                <w:lang w:val="es-ES_tradnl"/>
              </w:rPr>
              <w:t>.06</w:t>
            </w:r>
          </w:p>
        </w:tc>
        <w:tc>
          <w:tcPr>
            <w:tcW w:w="1418" w:type="dxa"/>
            <w:tcBorders>
              <w:bottom w:val="single" w:sz="4" w:space="0" w:color="auto"/>
            </w:tcBorders>
            <w:vAlign w:val="center"/>
          </w:tcPr>
          <w:p w14:paraId="18FDA159" w14:textId="001B887F" w:rsidR="006A195E" w:rsidRPr="0063233F" w:rsidRDefault="005D1CF1" w:rsidP="000B501A">
            <w:pPr>
              <w:pStyle w:val="TEXTAB"/>
              <w:spacing w:after="0"/>
              <w:ind w:right="237"/>
              <w:jc w:val="right"/>
              <w:rPr>
                <w:sz w:val="12"/>
                <w:szCs w:val="12"/>
                <w:lang w:val="es-ES_tradnl"/>
              </w:rPr>
            </w:pPr>
            <w:r>
              <w:rPr>
                <w:sz w:val="12"/>
                <w:szCs w:val="12"/>
                <w:lang w:val="es-ES_tradnl"/>
              </w:rPr>
              <w:t>2,975,276.32</w:t>
            </w:r>
          </w:p>
        </w:tc>
      </w:tr>
      <w:tr w:rsidR="00563E16" w:rsidRPr="0063233F" w14:paraId="44D0661B" w14:textId="77777777" w:rsidTr="00D07603">
        <w:trPr>
          <w:trHeight w:val="280"/>
          <w:jc w:val="center"/>
        </w:trPr>
        <w:tc>
          <w:tcPr>
            <w:tcW w:w="5672" w:type="dxa"/>
            <w:tcBorders>
              <w:top w:val="nil"/>
              <w:bottom w:val="double" w:sz="4" w:space="0" w:color="auto"/>
            </w:tcBorders>
            <w:vAlign w:val="center"/>
          </w:tcPr>
          <w:p w14:paraId="0E528759" w14:textId="706BAEA5" w:rsidR="00563E16" w:rsidRDefault="00AC6CC8" w:rsidP="00AC6CC8">
            <w:pPr>
              <w:pStyle w:val="TEXTAB"/>
              <w:spacing w:after="0"/>
              <w:ind w:right="237"/>
              <w:jc w:val="right"/>
              <w:rPr>
                <w:sz w:val="12"/>
                <w:szCs w:val="12"/>
                <w:lang w:val="es-ES_tradnl"/>
              </w:rPr>
            </w:pPr>
            <w:r>
              <w:rPr>
                <w:sz w:val="12"/>
                <w:szCs w:val="12"/>
                <w:lang w:val="es-ES_tradnl"/>
              </w:rPr>
              <w:t>SUBTOTA</w:t>
            </w:r>
            <w:r w:rsidR="00D07603">
              <w:rPr>
                <w:sz w:val="12"/>
                <w:szCs w:val="12"/>
                <w:lang w:val="es-ES_tradnl"/>
              </w:rPr>
              <w:t>L</w:t>
            </w:r>
          </w:p>
        </w:tc>
        <w:tc>
          <w:tcPr>
            <w:tcW w:w="1418" w:type="dxa"/>
            <w:tcBorders>
              <w:top w:val="single" w:sz="4" w:space="0" w:color="auto"/>
              <w:bottom w:val="double" w:sz="4" w:space="0" w:color="auto"/>
            </w:tcBorders>
            <w:vAlign w:val="center"/>
          </w:tcPr>
          <w:p w14:paraId="0F1F1662" w14:textId="4349FD52" w:rsidR="00563E16" w:rsidRDefault="00334867" w:rsidP="008027BE">
            <w:pPr>
              <w:pStyle w:val="TEXTAB"/>
              <w:spacing w:after="0"/>
              <w:ind w:right="237"/>
              <w:jc w:val="right"/>
              <w:rPr>
                <w:sz w:val="12"/>
                <w:szCs w:val="12"/>
                <w:lang w:val="es-ES_tradnl"/>
              </w:rPr>
            </w:pPr>
            <w:r>
              <w:rPr>
                <w:sz w:val="12"/>
                <w:szCs w:val="12"/>
                <w:lang w:val="es-ES_tradnl"/>
              </w:rPr>
              <w:t>3,</w:t>
            </w:r>
            <w:r w:rsidR="008027BE">
              <w:rPr>
                <w:sz w:val="12"/>
                <w:szCs w:val="12"/>
                <w:lang w:val="es-ES_tradnl"/>
              </w:rPr>
              <w:t>431,656</w:t>
            </w:r>
            <w:r>
              <w:rPr>
                <w:sz w:val="12"/>
                <w:szCs w:val="12"/>
                <w:lang w:val="es-ES_tradnl"/>
              </w:rPr>
              <w:t>.27</w:t>
            </w:r>
          </w:p>
        </w:tc>
        <w:tc>
          <w:tcPr>
            <w:tcW w:w="1418" w:type="dxa"/>
            <w:tcBorders>
              <w:top w:val="single" w:sz="4" w:space="0" w:color="auto"/>
              <w:bottom w:val="double" w:sz="4" w:space="0" w:color="auto"/>
            </w:tcBorders>
            <w:vAlign w:val="center"/>
          </w:tcPr>
          <w:p w14:paraId="36AA7828" w14:textId="0DC080B6" w:rsidR="00563E16" w:rsidRDefault="005D1CF1" w:rsidP="00006836">
            <w:pPr>
              <w:pStyle w:val="TEXTAB"/>
              <w:spacing w:after="0"/>
              <w:ind w:right="237"/>
              <w:jc w:val="right"/>
              <w:rPr>
                <w:sz w:val="12"/>
                <w:szCs w:val="12"/>
                <w:lang w:val="es-ES_tradnl"/>
              </w:rPr>
            </w:pPr>
            <w:r>
              <w:rPr>
                <w:sz w:val="12"/>
                <w:szCs w:val="12"/>
                <w:lang w:val="es-ES_tradnl"/>
              </w:rPr>
              <w:t>3,011,573.53</w:t>
            </w:r>
          </w:p>
        </w:tc>
      </w:tr>
      <w:tr w:rsidR="00B2580E" w:rsidRPr="0063233F" w14:paraId="31D76EDE" w14:textId="77777777" w:rsidTr="00006836">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58AF3AC2" w:rsidR="00B2580E" w:rsidRPr="0063233F" w:rsidRDefault="00164347" w:rsidP="003423A3">
            <w:pPr>
              <w:pStyle w:val="TEXTAB"/>
              <w:spacing w:after="0"/>
              <w:ind w:right="237"/>
              <w:jc w:val="right"/>
              <w:rPr>
                <w:sz w:val="12"/>
                <w:szCs w:val="12"/>
                <w:lang w:val="es-ES_tradnl"/>
              </w:rPr>
            </w:pPr>
            <w:r w:rsidRPr="00164347">
              <w:rPr>
                <w:sz w:val="12"/>
                <w:szCs w:val="12"/>
                <w:lang w:val="es-ES_tradnl"/>
              </w:rPr>
              <w:t>31,</w:t>
            </w:r>
            <w:r w:rsidR="003423A3">
              <w:rPr>
                <w:sz w:val="12"/>
                <w:szCs w:val="12"/>
                <w:lang w:val="es-ES_tradnl"/>
              </w:rPr>
              <w:t>361</w:t>
            </w:r>
            <w:r w:rsidRPr="00164347">
              <w:rPr>
                <w:sz w:val="12"/>
                <w:szCs w:val="12"/>
                <w:lang w:val="es-ES_tradnl"/>
              </w:rPr>
              <w:t>,</w:t>
            </w:r>
            <w:r w:rsidR="003423A3">
              <w:rPr>
                <w:sz w:val="12"/>
                <w:szCs w:val="12"/>
                <w:lang w:val="es-ES_tradnl"/>
              </w:rPr>
              <w:t>127</w:t>
            </w:r>
            <w:r w:rsidRPr="00164347">
              <w:rPr>
                <w:sz w:val="12"/>
                <w:szCs w:val="12"/>
                <w:lang w:val="es-ES_tradnl"/>
              </w:rPr>
              <w:t>.</w:t>
            </w:r>
            <w:r w:rsidR="003423A3">
              <w:rPr>
                <w:sz w:val="12"/>
                <w:szCs w:val="12"/>
                <w:lang w:val="es-ES_tradnl"/>
              </w:rPr>
              <w:t>23</w:t>
            </w:r>
          </w:p>
        </w:tc>
        <w:tc>
          <w:tcPr>
            <w:tcW w:w="1418" w:type="dxa"/>
            <w:shd w:val="clear" w:color="auto" w:fill="D2D3D5"/>
            <w:vAlign w:val="center"/>
          </w:tcPr>
          <w:p w14:paraId="02527ECF" w14:textId="51B3D45B" w:rsidR="00B2580E" w:rsidRPr="0063233F" w:rsidRDefault="005D1CF1" w:rsidP="00006836">
            <w:pPr>
              <w:pStyle w:val="TEXTAB"/>
              <w:spacing w:after="0"/>
              <w:ind w:right="237"/>
              <w:jc w:val="right"/>
              <w:rPr>
                <w:sz w:val="12"/>
                <w:szCs w:val="12"/>
                <w:lang w:val="es-ES_tradnl"/>
              </w:rPr>
            </w:pPr>
            <w:r>
              <w:rPr>
                <w:sz w:val="12"/>
                <w:szCs w:val="12"/>
                <w:lang w:val="es-ES_tradnl"/>
              </w:rPr>
              <w:t>30,442,527.87</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19165E9F" w:rsidR="00A42B67" w:rsidRDefault="00A81C3E" w:rsidP="00254975">
      <w:pPr>
        <w:pStyle w:val="documento"/>
        <w:tabs>
          <w:tab w:val="left" w:pos="567"/>
        </w:tabs>
      </w:pPr>
      <w:r w:rsidRPr="00DA5BCE">
        <w:t>Por lo que respecta al equipo de t</w:t>
      </w:r>
      <w:r w:rsidR="00A42B67" w:rsidRPr="00DA5BCE">
        <w:t>ransporte</w:t>
      </w:r>
      <w:r w:rsidRPr="00DA5BCE">
        <w:t xml:space="preserve">, en el importe de $5,528,782.00, se encuentra incluido el </w:t>
      </w:r>
      <w:r w:rsidR="00CE5991" w:rsidRPr="00DA5BCE">
        <w:t xml:space="preserve">valor de </w:t>
      </w:r>
      <w:r w:rsidRPr="00DA5BCE">
        <w:t>un Tsuru modelo 2013 con placas 459YUD</w:t>
      </w:r>
      <w:r w:rsidR="00CE5991" w:rsidRPr="00DA5BCE">
        <w:t xml:space="preserve"> </w:t>
      </w:r>
      <w:r w:rsidRPr="00DA5BCE">
        <w:t xml:space="preserve"> con un valor de adquisición de $137,300.00 y un Sentra Advance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DA5BCE">
        <w:t xml:space="preserve">respectivamente. Las unidades </w:t>
      </w:r>
      <w:r w:rsidR="00713107" w:rsidRPr="00DA5BCE">
        <w:t xml:space="preserve">se encuentran </w:t>
      </w:r>
      <w:r w:rsidR="00DA5BCE" w:rsidRPr="00DA5BCE">
        <w:t>considerada</w:t>
      </w:r>
      <w:r w:rsidR="006848F0" w:rsidRPr="00DA5BCE">
        <w:t>s en e</w:t>
      </w:r>
      <w:r w:rsidR="00713107" w:rsidRPr="00DA5BCE">
        <w:t xml:space="preserve">l </w:t>
      </w:r>
      <w:r w:rsidR="00DA5BCE" w:rsidRPr="00DA5BCE">
        <w:t xml:space="preserve">total del </w:t>
      </w:r>
      <w:r w:rsidR="00713107" w:rsidRPr="00DA5BCE">
        <w:t xml:space="preserve">activo hasta </w:t>
      </w:r>
      <w:r w:rsidR="00DA5BCE" w:rsidRPr="00DA5BCE">
        <w:t xml:space="preserve">que </w:t>
      </w:r>
      <w:r w:rsidR="00713107" w:rsidRPr="00DA5BCE">
        <w:t>se aprueben los “</w:t>
      </w:r>
      <w:r w:rsidR="00CE5991" w:rsidRPr="00DA5BCE">
        <w:rPr>
          <w:b/>
        </w:rPr>
        <w:t>LINEAMIENTOS PARA LA ADMINISTRACIÓN, DESTINO FINAL Y BAJA DE BIENES MUEBLES E INFORMÁTICOS DEL INSTITUTO DE ACCESO A LA INFORMACIÓN PÚBLICA Y PROTECCIÓN DE DATOS PERSONALES DEL DISTRITO FEDERAL</w:t>
      </w:r>
      <w:r w:rsidR="00713107" w:rsidRPr="00DA5BCE">
        <w:rPr>
          <w:b/>
        </w:rPr>
        <w:t>”</w:t>
      </w:r>
      <w:r w:rsidR="006848F0" w:rsidRPr="00DA5BCE">
        <w:rPr>
          <w:b/>
        </w:rPr>
        <w:t xml:space="preserve"> </w:t>
      </w:r>
      <w:r w:rsidR="00DA5BCE" w:rsidRPr="00DA5BCE">
        <w:t xml:space="preserve">por las autoridades del Instituto </w:t>
      </w:r>
      <w:r w:rsidR="006848F0" w:rsidRPr="00DA5BCE">
        <w:t>y proceder a su baja.</w:t>
      </w:r>
    </w:p>
    <w:p w14:paraId="7EA645EA" w14:textId="77777777" w:rsidR="006848F0" w:rsidRDefault="006848F0" w:rsidP="00254975">
      <w:pPr>
        <w:pStyle w:val="documento"/>
        <w:tabs>
          <w:tab w:val="left" w:pos="567"/>
        </w:tabs>
      </w:pPr>
    </w:p>
    <w:p w14:paraId="4BA96696" w14:textId="77777777" w:rsidR="006848F0" w:rsidRDefault="006848F0" w:rsidP="00254975">
      <w:pPr>
        <w:pStyle w:val="documento"/>
        <w:tabs>
          <w:tab w:val="left" w:pos="567"/>
        </w:tabs>
      </w:pPr>
    </w:p>
    <w:p w14:paraId="2ADFAA14" w14:textId="77777777" w:rsidR="00B2580E" w:rsidRPr="00196151" w:rsidRDefault="00B2580E" w:rsidP="00B2580E">
      <w:pPr>
        <w:pStyle w:val="documento"/>
        <w:rPr>
          <w:b/>
        </w:rPr>
      </w:pPr>
      <w:r w:rsidRPr="00196151">
        <w:rPr>
          <w:b/>
        </w:rPr>
        <w:lastRenderedPageBreak/>
        <w:t>Pasivo</w:t>
      </w:r>
    </w:p>
    <w:p w14:paraId="7CB62C8A" w14:textId="77777777" w:rsidR="00006836"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Pr>
          <w:rFonts w:ascii="Gotham Rounded Book" w:hAnsi="Gotham Rounded Book"/>
          <w:sz w:val="22"/>
          <w:szCs w:val="22"/>
        </w:rPr>
        <w:t>Corresponde a las r</w:t>
      </w:r>
      <w:r w:rsidRPr="00006836">
        <w:rPr>
          <w:rFonts w:ascii="Gotham Rounded Book" w:hAnsi="Gotham Rounded Book"/>
          <w:sz w:val="22"/>
          <w:szCs w:val="22"/>
        </w:rPr>
        <w:t>etenciones y contrib</w:t>
      </w:r>
      <w:r w:rsidR="009F013A">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0482A564" w14:textId="187161D0" w:rsidR="004E31C5" w:rsidRPr="00F8414B" w:rsidRDefault="00F8414B" w:rsidP="00006836">
      <w:pPr>
        <w:pStyle w:val="ROMANOS"/>
        <w:spacing w:after="0" w:line="240" w:lineRule="exact"/>
        <w:ind w:left="0" w:firstLine="0"/>
        <w:rPr>
          <w:rFonts w:ascii="Gotham Rounded Book" w:hAnsi="Gotham Rounded Book"/>
          <w:b/>
          <w:sz w:val="20"/>
          <w:szCs w:val="20"/>
        </w:rPr>
      </w:pPr>
      <w:r w:rsidRPr="00D13939">
        <w:rPr>
          <w:rFonts w:ascii="Gotham Rounded Book" w:hAnsi="Gotham Rounded Book"/>
          <w:b/>
          <w:sz w:val="20"/>
          <w:szCs w:val="20"/>
        </w:rPr>
        <w:t>Servicios personales por pagar a corto plazo</w:t>
      </w:r>
    </w:p>
    <w:p w14:paraId="230F9245" w14:textId="77777777" w:rsidR="004E31C5" w:rsidRDefault="004E31C5" w:rsidP="00006836">
      <w:pPr>
        <w:pStyle w:val="ROMANOS"/>
        <w:spacing w:after="0" w:line="240" w:lineRule="exact"/>
        <w:ind w:left="0" w:firstLine="0"/>
        <w:rPr>
          <w:rFonts w:ascii="Gotham Rounded Book" w:hAnsi="Gotham Rounded Book"/>
          <w:sz w:val="22"/>
          <w:szCs w:val="22"/>
        </w:rPr>
      </w:pPr>
    </w:p>
    <w:tbl>
      <w:tblPr>
        <w:tblW w:w="7680" w:type="dxa"/>
        <w:tblCellMar>
          <w:left w:w="70" w:type="dxa"/>
          <w:right w:w="70" w:type="dxa"/>
        </w:tblCellMar>
        <w:tblLook w:val="04A0" w:firstRow="1" w:lastRow="0" w:firstColumn="1" w:lastColumn="0" w:noHBand="0" w:noVBand="1"/>
      </w:tblPr>
      <w:tblGrid>
        <w:gridCol w:w="5866"/>
        <w:gridCol w:w="1814"/>
      </w:tblGrid>
      <w:tr w:rsidR="00F8414B" w:rsidRPr="00E20CDA" w14:paraId="75BDD4FC" w14:textId="77777777" w:rsidTr="00295A5D">
        <w:trPr>
          <w:trHeight w:val="255"/>
        </w:trPr>
        <w:tc>
          <w:tcPr>
            <w:tcW w:w="5866" w:type="dxa"/>
            <w:tcBorders>
              <w:top w:val="nil"/>
              <w:left w:val="nil"/>
              <w:bottom w:val="nil"/>
              <w:right w:val="nil"/>
            </w:tcBorders>
            <w:shd w:val="clear" w:color="auto" w:fill="auto"/>
            <w:noWrap/>
          </w:tcPr>
          <w:p w14:paraId="1A135F2C" w14:textId="65716CA8" w:rsidR="00F8414B" w:rsidRDefault="00F8414B" w:rsidP="00F8414B">
            <w:pPr>
              <w:spacing w:after="0" w:line="240" w:lineRule="auto"/>
              <w:ind w:left="0" w:firstLine="0"/>
              <w:jc w:val="left"/>
              <w:rPr>
                <w:rFonts w:ascii="Gotham Rounded Book" w:hAnsi="Gotham Rounded Book"/>
                <w:sz w:val="20"/>
                <w:szCs w:val="20"/>
              </w:rPr>
            </w:pPr>
            <w:r w:rsidRPr="00F476F0">
              <w:rPr>
                <w:rFonts w:ascii="Gotham Rounded Book" w:hAnsi="Gotham Rounded Book"/>
                <w:sz w:val="20"/>
                <w:szCs w:val="20"/>
              </w:rPr>
              <w:t>Fovissste 5%</w:t>
            </w:r>
          </w:p>
        </w:tc>
        <w:tc>
          <w:tcPr>
            <w:tcW w:w="1814" w:type="dxa"/>
            <w:tcBorders>
              <w:top w:val="nil"/>
              <w:left w:val="nil"/>
              <w:bottom w:val="nil"/>
              <w:right w:val="nil"/>
            </w:tcBorders>
            <w:shd w:val="clear" w:color="auto" w:fill="auto"/>
            <w:noWrap/>
          </w:tcPr>
          <w:p w14:paraId="7436CF5B" w14:textId="466E6541" w:rsidR="00F8414B" w:rsidRPr="009E68EF" w:rsidRDefault="00682A9A" w:rsidP="00F8414B">
            <w:pPr>
              <w:spacing w:after="0" w:line="240" w:lineRule="auto"/>
              <w:ind w:left="0" w:right="380" w:firstLine="0"/>
              <w:jc w:val="right"/>
              <w:rPr>
                <w:rFonts w:ascii="Gotham Rounded Book" w:hAnsi="Gotham Rounded Book"/>
                <w:sz w:val="20"/>
                <w:szCs w:val="20"/>
              </w:rPr>
            </w:pPr>
            <w:r w:rsidRPr="00682A9A">
              <w:t>77,673.06</w:t>
            </w:r>
          </w:p>
        </w:tc>
      </w:tr>
      <w:tr w:rsidR="00F8414B" w:rsidRPr="00E20CDA" w14:paraId="2DC21291" w14:textId="77777777" w:rsidTr="00295A5D">
        <w:trPr>
          <w:trHeight w:val="255"/>
        </w:trPr>
        <w:tc>
          <w:tcPr>
            <w:tcW w:w="5866" w:type="dxa"/>
            <w:tcBorders>
              <w:top w:val="nil"/>
              <w:left w:val="nil"/>
              <w:bottom w:val="nil"/>
              <w:right w:val="nil"/>
            </w:tcBorders>
            <w:shd w:val="clear" w:color="auto" w:fill="auto"/>
            <w:noWrap/>
          </w:tcPr>
          <w:p w14:paraId="53FE231D" w14:textId="4B625321" w:rsidR="00F8414B" w:rsidRDefault="00F8414B" w:rsidP="00F8414B">
            <w:pPr>
              <w:spacing w:after="0" w:line="240" w:lineRule="auto"/>
              <w:ind w:left="0" w:firstLine="0"/>
              <w:jc w:val="left"/>
              <w:rPr>
                <w:rFonts w:ascii="Gotham Rounded Book" w:hAnsi="Gotham Rounded Book"/>
                <w:sz w:val="20"/>
                <w:szCs w:val="20"/>
              </w:rPr>
            </w:pPr>
            <w:r w:rsidRPr="00F476F0">
              <w:rPr>
                <w:rFonts w:ascii="Gotham Rounded Book" w:hAnsi="Gotham Rounded Book"/>
                <w:sz w:val="20"/>
                <w:szCs w:val="20"/>
              </w:rPr>
              <w:t>Seguro de Vida Institucional</w:t>
            </w:r>
          </w:p>
        </w:tc>
        <w:tc>
          <w:tcPr>
            <w:tcW w:w="1814" w:type="dxa"/>
            <w:tcBorders>
              <w:top w:val="nil"/>
              <w:left w:val="nil"/>
              <w:bottom w:val="nil"/>
              <w:right w:val="nil"/>
            </w:tcBorders>
            <w:shd w:val="clear" w:color="auto" w:fill="auto"/>
            <w:noWrap/>
          </w:tcPr>
          <w:p w14:paraId="5795ED6B" w14:textId="49209857" w:rsidR="00F8414B" w:rsidRPr="009E68EF" w:rsidRDefault="00682A9A" w:rsidP="00F8414B">
            <w:pPr>
              <w:spacing w:after="0" w:line="240" w:lineRule="auto"/>
              <w:ind w:left="0" w:right="380" w:firstLine="0"/>
              <w:jc w:val="right"/>
              <w:rPr>
                <w:rFonts w:ascii="Gotham Rounded Book" w:hAnsi="Gotham Rounded Book"/>
                <w:sz w:val="20"/>
                <w:szCs w:val="20"/>
              </w:rPr>
            </w:pPr>
            <w:r w:rsidRPr="00682A9A">
              <w:t>198,676.80</w:t>
            </w:r>
          </w:p>
        </w:tc>
      </w:tr>
      <w:tr w:rsidR="00F8414B" w:rsidRPr="00E20CDA" w14:paraId="3C555AF6" w14:textId="77777777" w:rsidTr="00295A5D">
        <w:trPr>
          <w:trHeight w:val="255"/>
        </w:trPr>
        <w:tc>
          <w:tcPr>
            <w:tcW w:w="5866" w:type="dxa"/>
            <w:tcBorders>
              <w:top w:val="nil"/>
              <w:left w:val="nil"/>
              <w:bottom w:val="nil"/>
              <w:right w:val="nil"/>
            </w:tcBorders>
            <w:shd w:val="clear" w:color="auto" w:fill="auto"/>
            <w:noWrap/>
          </w:tcPr>
          <w:p w14:paraId="348AE400" w14:textId="161BFA9F" w:rsidR="00F8414B" w:rsidRDefault="00F8414B" w:rsidP="00F8414B">
            <w:pPr>
              <w:spacing w:after="0" w:line="240" w:lineRule="auto"/>
              <w:ind w:left="0" w:firstLine="0"/>
              <w:jc w:val="left"/>
              <w:rPr>
                <w:rFonts w:ascii="Gotham Rounded Book" w:hAnsi="Gotham Rounded Book"/>
                <w:sz w:val="20"/>
                <w:szCs w:val="20"/>
              </w:rPr>
            </w:pPr>
            <w:r w:rsidRPr="00F476F0">
              <w:rPr>
                <w:rFonts w:ascii="Gotham Rounded Book" w:hAnsi="Gotham Rounded Book"/>
                <w:sz w:val="20"/>
                <w:szCs w:val="20"/>
              </w:rPr>
              <w:t>Sar 5.175%</w:t>
            </w:r>
          </w:p>
        </w:tc>
        <w:tc>
          <w:tcPr>
            <w:tcW w:w="1814" w:type="dxa"/>
            <w:tcBorders>
              <w:top w:val="nil"/>
              <w:left w:val="nil"/>
              <w:bottom w:val="nil"/>
              <w:right w:val="nil"/>
            </w:tcBorders>
            <w:shd w:val="clear" w:color="auto" w:fill="auto"/>
            <w:noWrap/>
          </w:tcPr>
          <w:p w14:paraId="4F599FD4" w14:textId="512BE16F" w:rsidR="00F8414B" w:rsidRPr="009E68EF" w:rsidRDefault="00D74855" w:rsidP="00F8414B">
            <w:pPr>
              <w:spacing w:after="0" w:line="240" w:lineRule="auto"/>
              <w:ind w:left="0" w:right="380" w:firstLine="0"/>
              <w:jc w:val="right"/>
              <w:rPr>
                <w:rFonts w:ascii="Gotham Rounded Book" w:hAnsi="Gotham Rounded Book"/>
                <w:sz w:val="20"/>
                <w:szCs w:val="20"/>
              </w:rPr>
            </w:pPr>
            <w:r w:rsidRPr="00D74855">
              <w:t>80,393.00</w:t>
            </w:r>
          </w:p>
        </w:tc>
      </w:tr>
      <w:tr w:rsidR="00F8414B" w:rsidRPr="00E20CDA" w14:paraId="055E5570" w14:textId="77777777" w:rsidTr="00295A5D">
        <w:trPr>
          <w:trHeight w:val="255"/>
        </w:trPr>
        <w:tc>
          <w:tcPr>
            <w:tcW w:w="5866" w:type="dxa"/>
            <w:tcBorders>
              <w:top w:val="nil"/>
              <w:left w:val="nil"/>
              <w:bottom w:val="nil"/>
              <w:right w:val="nil"/>
            </w:tcBorders>
            <w:shd w:val="clear" w:color="auto" w:fill="auto"/>
            <w:noWrap/>
          </w:tcPr>
          <w:p w14:paraId="745F6A38" w14:textId="4A6A733D" w:rsidR="00F8414B" w:rsidRDefault="00F8414B" w:rsidP="00F8414B">
            <w:pPr>
              <w:spacing w:after="0" w:line="240" w:lineRule="auto"/>
              <w:ind w:left="0" w:firstLine="0"/>
              <w:jc w:val="left"/>
              <w:rPr>
                <w:rFonts w:ascii="Gotham Rounded Book" w:hAnsi="Gotham Rounded Book"/>
                <w:sz w:val="20"/>
                <w:szCs w:val="20"/>
              </w:rPr>
            </w:pPr>
            <w:r w:rsidRPr="00F476F0">
              <w:rPr>
                <w:rFonts w:ascii="Gotham Rounded Book" w:hAnsi="Gotham Rounded Book"/>
                <w:sz w:val="20"/>
                <w:szCs w:val="20"/>
              </w:rPr>
              <w:t>Depósitos para el Ahorro Solidario</w:t>
            </w:r>
          </w:p>
        </w:tc>
        <w:tc>
          <w:tcPr>
            <w:tcW w:w="1814" w:type="dxa"/>
            <w:tcBorders>
              <w:top w:val="nil"/>
              <w:left w:val="nil"/>
              <w:bottom w:val="nil"/>
              <w:right w:val="nil"/>
            </w:tcBorders>
            <w:shd w:val="clear" w:color="auto" w:fill="auto"/>
            <w:noWrap/>
          </w:tcPr>
          <w:p w14:paraId="0B7AE98C" w14:textId="03A6EC7D" w:rsidR="00F8414B" w:rsidRPr="009E68EF" w:rsidRDefault="00D74855" w:rsidP="00D13939">
            <w:pPr>
              <w:spacing w:after="0" w:line="240" w:lineRule="auto"/>
              <w:ind w:left="0" w:right="380" w:firstLine="0"/>
              <w:jc w:val="right"/>
              <w:rPr>
                <w:rFonts w:ascii="Gotham Rounded Book" w:hAnsi="Gotham Rounded Book"/>
                <w:sz w:val="20"/>
                <w:szCs w:val="20"/>
              </w:rPr>
            </w:pPr>
            <w:r w:rsidRPr="00D74855">
              <w:t>31,831.90</w:t>
            </w:r>
          </w:p>
        </w:tc>
      </w:tr>
      <w:tr w:rsidR="00F8414B" w:rsidRPr="00E20CDA" w14:paraId="00859502" w14:textId="77777777" w:rsidTr="00F8414B">
        <w:trPr>
          <w:trHeight w:val="255"/>
        </w:trPr>
        <w:tc>
          <w:tcPr>
            <w:tcW w:w="5866" w:type="dxa"/>
            <w:tcBorders>
              <w:top w:val="nil"/>
              <w:left w:val="nil"/>
              <w:bottom w:val="nil"/>
              <w:right w:val="nil"/>
            </w:tcBorders>
            <w:shd w:val="clear" w:color="auto" w:fill="auto"/>
            <w:noWrap/>
          </w:tcPr>
          <w:p w14:paraId="365AD1F5" w14:textId="70D3BDF4" w:rsidR="00F8414B" w:rsidRDefault="00F8414B" w:rsidP="00F8414B">
            <w:pPr>
              <w:spacing w:after="0" w:line="240" w:lineRule="auto"/>
              <w:ind w:left="0" w:firstLine="0"/>
              <w:jc w:val="left"/>
              <w:rPr>
                <w:rFonts w:ascii="Gotham Rounded Book" w:hAnsi="Gotham Rounded Book"/>
                <w:sz w:val="20"/>
                <w:szCs w:val="20"/>
              </w:rPr>
            </w:pPr>
            <w:r w:rsidRPr="00F476F0">
              <w:rPr>
                <w:rFonts w:ascii="Gotham Rounded Book" w:hAnsi="Gotham Rounded Book"/>
                <w:sz w:val="20"/>
                <w:szCs w:val="20"/>
              </w:rPr>
              <w:t>Seguro de Vida del SSI</w:t>
            </w:r>
          </w:p>
        </w:tc>
        <w:tc>
          <w:tcPr>
            <w:tcW w:w="1814" w:type="dxa"/>
            <w:tcBorders>
              <w:top w:val="nil"/>
              <w:left w:val="nil"/>
              <w:bottom w:val="single" w:sz="4" w:space="0" w:color="auto"/>
              <w:right w:val="nil"/>
            </w:tcBorders>
            <w:shd w:val="clear" w:color="auto" w:fill="auto"/>
            <w:noWrap/>
          </w:tcPr>
          <w:p w14:paraId="5535803D" w14:textId="18F680E2" w:rsidR="00F8414B" w:rsidRPr="009E68EF" w:rsidRDefault="00D74855" w:rsidP="00F8414B">
            <w:pPr>
              <w:spacing w:after="0" w:line="240" w:lineRule="auto"/>
              <w:ind w:left="0" w:right="380" w:firstLine="0"/>
              <w:jc w:val="right"/>
              <w:rPr>
                <w:rFonts w:ascii="Gotham Rounded Book" w:hAnsi="Gotham Rounded Book"/>
                <w:sz w:val="20"/>
                <w:szCs w:val="20"/>
              </w:rPr>
            </w:pPr>
            <w:r w:rsidRPr="00D74855">
              <w:t>35,258.56</w:t>
            </w:r>
          </w:p>
        </w:tc>
      </w:tr>
      <w:tr w:rsidR="00F8414B" w:rsidRPr="00E20CDA" w14:paraId="5F7E3EFF" w14:textId="77777777" w:rsidTr="00F8414B">
        <w:trPr>
          <w:trHeight w:val="255"/>
        </w:trPr>
        <w:tc>
          <w:tcPr>
            <w:tcW w:w="5866" w:type="dxa"/>
            <w:tcBorders>
              <w:top w:val="nil"/>
              <w:left w:val="nil"/>
              <w:bottom w:val="nil"/>
              <w:right w:val="nil"/>
            </w:tcBorders>
            <w:shd w:val="clear" w:color="auto" w:fill="auto"/>
            <w:noWrap/>
          </w:tcPr>
          <w:p w14:paraId="4155896A" w14:textId="77777777" w:rsidR="00F8414B" w:rsidRPr="00F476F0" w:rsidRDefault="00F8414B" w:rsidP="00F8414B">
            <w:pPr>
              <w:spacing w:after="0" w:line="240" w:lineRule="auto"/>
              <w:ind w:left="0" w:firstLine="0"/>
              <w:jc w:val="left"/>
              <w:rPr>
                <w:rFonts w:ascii="Gotham Rounded Book" w:hAnsi="Gotham Rounded Book"/>
                <w:sz w:val="20"/>
                <w:szCs w:val="20"/>
              </w:rPr>
            </w:pPr>
          </w:p>
        </w:tc>
        <w:tc>
          <w:tcPr>
            <w:tcW w:w="1814" w:type="dxa"/>
            <w:tcBorders>
              <w:top w:val="single" w:sz="4" w:space="0" w:color="auto"/>
              <w:left w:val="nil"/>
              <w:bottom w:val="double" w:sz="4" w:space="0" w:color="auto"/>
              <w:right w:val="nil"/>
            </w:tcBorders>
            <w:shd w:val="clear" w:color="auto" w:fill="auto"/>
            <w:noWrap/>
          </w:tcPr>
          <w:p w14:paraId="0985724A" w14:textId="182DCB61" w:rsidR="00F8414B" w:rsidRPr="00F8414B" w:rsidRDefault="00F8414B" w:rsidP="00F8414B">
            <w:pPr>
              <w:spacing w:after="0" w:line="240" w:lineRule="auto"/>
              <w:ind w:left="0" w:right="380" w:firstLine="0"/>
              <w:jc w:val="right"/>
            </w:pPr>
            <w:r w:rsidRPr="00F8414B">
              <w:rPr>
                <w:rFonts w:ascii="Gotham Rounded Book" w:hAnsi="Gotham Rounded Book"/>
                <w:b/>
                <w:sz w:val="20"/>
                <w:szCs w:val="20"/>
              </w:rPr>
              <w:t>$</w:t>
            </w:r>
            <w:bookmarkStart w:id="0" w:name="OLE_LINK1"/>
            <w:r w:rsidR="00D74855" w:rsidRPr="00D74855">
              <w:rPr>
                <w:b/>
              </w:rPr>
              <w:t>423,833.32</w:t>
            </w:r>
            <w:bookmarkEnd w:id="0"/>
          </w:p>
        </w:tc>
      </w:tr>
    </w:tbl>
    <w:p w14:paraId="76663433" w14:textId="77777777" w:rsidR="00F8414B" w:rsidRPr="00F8414B" w:rsidRDefault="00F8414B" w:rsidP="00006836">
      <w:pPr>
        <w:pStyle w:val="ROMANOS"/>
        <w:spacing w:after="0" w:line="240" w:lineRule="exact"/>
        <w:ind w:left="0" w:firstLine="0"/>
        <w:rPr>
          <w:rFonts w:ascii="Gotham Rounded Book" w:hAnsi="Gotham Rounded Book"/>
          <w:sz w:val="22"/>
          <w:szCs w:val="22"/>
        </w:rPr>
      </w:pPr>
    </w:p>
    <w:p w14:paraId="5527A5D4" w14:textId="02A1578D" w:rsidR="004E31C5" w:rsidRPr="009E68EF" w:rsidRDefault="002D581E" w:rsidP="00006836">
      <w:pPr>
        <w:pStyle w:val="ROMANOS"/>
        <w:spacing w:after="0" w:line="240" w:lineRule="exact"/>
        <w:ind w:left="0" w:firstLine="0"/>
        <w:rPr>
          <w:rFonts w:ascii="Gotham Rounded Book" w:hAnsi="Gotham Rounded Book"/>
          <w:b/>
          <w:sz w:val="20"/>
          <w:szCs w:val="20"/>
        </w:rPr>
      </w:pPr>
      <w:r w:rsidRPr="00BB18D8">
        <w:rPr>
          <w:rFonts w:ascii="Gotham Rounded Book" w:hAnsi="Gotham Rounded Book"/>
          <w:b/>
          <w:sz w:val="20"/>
          <w:szCs w:val="20"/>
        </w:rPr>
        <w:t>Retenciones y contribuciones por pagar a corto plazo</w:t>
      </w:r>
    </w:p>
    <w:tbl>
      <w:tblPr>
        <w:tblW w:w="7680" w:type="dxa"/>
        <w:tblCellMar>
          <w:left w:w="70" w:type="dxa"/>
          <w:right w:w="70" w:type="dxa"/>
        </w:tblCellMar>
        <w:tblLook w:val="04A0" w:firstRow="1" w:lastRow="0" w:firstColumn="1" w:lastColumn="0" w:noHBand="0" w:noVBand="1"/>
      </w:tblPr>
      <w:tblGrid>
        <w:gridCol w:w="5529"/>
        <w:gridCol w:w="425"/>
        <w:gridCol w:w="74"/>
        <w:gridCol w:w="1211"/>
        <w:gridCol w:w="135"/>
        <w:gridCol w:w="306"/>
      </w:tblGrid>
      <w:tr w:rsidR="002D581E" w:rsidRPr="00E20CDA" w14:paraId="4C58312A" w14:textId="77777777" w:rsidTr="009E68EF">
        <w:trPr>
          <w:trHeight w:val="255"/>
        </w:trPr>
        <w:tc>
          <w:tcPr>
            <w:tcW w:w="6028"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652" w:type="dxa"/>
            <w:gridSpan w:val="3"/>
            <w:tcBorders>
              <w:top w:val="nil"/>
              <w:left w:val="nil"/>
              <w:bottom w:val="nil"/>
              <w:right w:val="nil"/>
            </w:tcBorders>
            <w:shd w:val="clear" w:color="auto" w:fill="auto"/>
            <w:noWrap/>
            <w:vAlign w:val="bottom"/>
          </w:tcPr>
          <w:p w14:paraId="319C182D" w14:textId="293FB47A" w:rsidR="002D581E" w:rsidRPr="00E20CDA" w:rsidRDefault="002D581E" w:rsidP="00576DB2">
            <w:pPr>
              <w:spacing w:after="0" w:line="240" w:lineRule="auto"/>
              <w:ind w:left="0" w:firstLine="0"/>
              <w:jc w:val="right"/>
              <w:rPr>
                <w:rFonts w:ascii="Gotham Rounded Book" w:hAnsi="Gotham Rounded Book"/>
                <w:sz w:val="20"/>
                <w:szCs w:val="20"/>
              </w:rPr>
            </w:pPr>
          </w:p>
        </w:tc>
      </w:tr>
      <w:tr w:rsidR="002D581E" w:rsidRPr="00E20CDA" w14:paraId="6F87A810"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76DB2">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1710" w:type="dxa"/>
            <w:gridSpan w:val="3"/>
            <w:tcBorders>
              <w:top w:val="nil"/>
              <w:left w:val="nil"/>
              <w:bottom w:val="nil"/>
              <w:right w:val="nil"/>
            </w:tcBorders>
            <w:shd w:val="clear" w:color="auto" w:fill="auto"/>
            <w:noWrap/>
            <w:vAlign w:val="bottom"/>
          </w:tcPr>
          <w:p w14:paraId="6297AAFD" w14:textId="67A0E751" w:rsidR="002D581E" w:rsidRPr="00E20CDA" w:rsidRDefault="00D74855" w:rsidP="002D581E">
            <w:pPr>
              <w:spacing w:after="0" w:line="240" w:lineRule="auto"/>
              <w:ind w:left="0" w:firstLine="0"/>
              <w:jc w:val="right"/>
              <w:rPr>
                <w:rFonts w:ascii="Gotham Rounded Book" w:hAnsi="Gotham Rounded Book"/>
                <w:sz w:val="20"/>
                <w:szCs w:val="20"/>
              </w:rPr>
            </w:pPr>
            <w:r w:rsidRPr="00D74855">
              <w:rPr>
                <w:rFonts w:ascii="Gotham Rounded Book" w:hAnsi="Gotham Rounded Book"/>
                <w:sz w:val="20"/>
                <w:szCs w:val="20"/>
              </w:rPr>
              <w:t>1,301,623.48</w:t>
            </w:r>
          </w:p>
        </w:tc>
      </w:tr>
      <w:tr w:rsidR="002D581E" w:rsidRPr="00E20CDA" w14:paraId="537F7AE7"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08185539" w14:textId="6DEE2EE6" w:rsidR="002D581E" w:rsidRPr="00E20CDA" w:rsidRDefault="00576DB2" w:rsidP="00576DB2">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Asimilables a salarios</w:t>
            </w:r>
          </w:p>
        </w:tc>
        <w:tc>
          <w:tcPr>
            <w:tcW w:w="1710" w:type="dxa"/>
            <w:gridSpan w:val="3"/>
            <w:tcBorders>
              <w:top w:val="nil"/>
              <w:left w:val="nil"/>
              <w:bottom w:val="nil"/>
              <w:right w:val="nil"/>
            </w:tcBorders>
            <w:shd w:val="clear" w:color="auto" w:fill="auto"/>
            <w:noWrap/>
            <w:vAlign w:val="bottom"/>
          </w:tcPr>
          <w:p w14:paraId="288A0F73" w14:textId="5254BE8B" w:rsidR="002D581E" w:rsidRPr="00E20CDA" w:rsidRDefault="00D74855" w:rsidP="002D581E">
            <w:pPr>
              <w:spacing w:after="0" w:line="240" w:lineRule="auto"/>
              <w:ind w:left="0" w:firstLine="0"/>
              <w:jc w:val="right"/>
              <w:rPr>
                <w:rFonts w:ascii="Gotham Rounded Book" w:hAnsi="Gotham Rounded Book"/>
                <w:sz w:val="20"/>
                <w:szCs w:val="20"/>
              </w:rPr>
            </w:pPr>
            <w:r w:rsidRPr="00D74855">
              <w:rPr>
                <w:rFonts w:ascii="Gotham Rounded Book" w:hAnsi="Gotham Rounded Book"/>
                <w:sz w:val="20"/>
                <w:szCs w:val="20"/>
              </w:rPr>
              <w:t>93,033.62</w:t>
            </w:r>
          </w:p>
        </w:tc>
      </w:tr>
      <w:tr w:rsidR="002D581E" w:rsidRPr="00E20CDA" w14:paraId="34BBAD85"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430ABACA" w14:textId="5946BF97" w:rsidR="002D581E" w:rsidRPr="00E20CDA" w:rsidRDefault="00576DB2" w:rsidP="00576DB2">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710" w:type="dxa"/>
            <w:gridSpan w:val="3"/>
            <w:tcBorders>
              <w:top w:val="nil"/>
              <w:left w:val="nil"/>
              <w:bottom w:val="nil"/>
              <w:right w:val="nil"/>
            </w:tcBorders>
            <w:shd w:val="clear" w:color="auto" w:fill="auto"/>
            <w:noWrap/>
            <w:vAlign w:val="bottom"/>
          </w:tcPr>
          <w:p w14:paraId="0DACAED4" w14:textId="654BC01F" w:rsidR="002D581E" w:rsidRPr="00E20CDA" w:rsidRDefault="008D4008" w:rsidP="002D581E">
            <w:pPr>
              <w:spacing w:after="0" w:line="240" w:lineRule="auto"/>
              <w:ind w:left="0" w:firstLine="0"/>
              <w:jc w:val="right"/>
              <w:rPr>
                <w:rFonts w:ascii="Gotham Rounded Book" w:hAnsi="Gotham Rounded Book"/>
                <w:sz w:val="20"/>
                <w:szCs w:val="20"/>
              </w:rPr>
            </w:pPr>
            <w:r w:rsidRPr="008D4008">
              <w:rPr>
                <w:rFonts w:ascii="Gotham Rounded Book" w:hAnsi="Gotham Rounded Book"/>
                <w:sz w:val="20"/>
                <w:szCs w:val="20"/>
              </w:rPr>
              <w:t>1,580.00</w:t>
            </w:r>
          </w:p>
        </w:tc>
      </w:tr>
      <w:tr w:rsidR="007374A0" w:rsidRPr="00E20CDA" w14:paraId="5B41F16F"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72EED422" w14:textId="1D23A0E6" w:rsidR="007374A0" w:rsidRDefault="007374A0" w:rsidP="007374A0">
            <w:pPr>
              <w:spacing w:after="0" w:line="240" w:lineRule="auto"/>
              <w:ind w:left="497" w:firstLine="0"/>
              <w:jc w:val="left"/>
              <w:rPr>
                <w:rFonts w:ascii="Gotham Rounded Book" w:hAnsi="Gotham Rounded Book"/>
                <w:sz w:val="20"/>
                <w:szCs w:val="20"/>
              </w:rPr>
            </w:pPr>
          </w:p>
        </w:tc>
        <w:tc>
          <w:tcPr>
            <w:tcW w:w="1710" w:type="dxa"/>
            <w:gridSpan w:val="3"/>
            <w:tcBorders>
              <w:top w:val="nil"/>
              <w:left w:val="nil"/>
              <w:bottom w:val="nil"/>
              <w:right w:val="nil"/>
            </w:tcBorders>
            <w:shd w:val="clear" w:color="auto" w:fill="auto"/>
            <w:noWrap/>
            <w:vAlign w:val="bottom"/>
          </w:tcPr>
          <w:p w14:paraId="4F4D1596" w14:textId="7834D02F" w:rsidR="007374A0" w:rsidRPr="008D4008" w:rsidRDefault="007374A0" w:rsidP="002D581E">
            <w:pPr>
              <w:spacing w:after="0" w:line="240" w:lineRule="auto"/>
              <w:ind w:left="0" w:firstLine="0"/>
              <w:jc w:val="right"/>
              <w:rPr>
                <w:rFonts w:ascii="Gotham Rounded Book" w:hAnsi="Gotham Rounded Book"/>
                <w:sz w:val="20"/>
                <w:szCs w:val="20"/>
              </w:rPr>
            </w:pPr>
          </w:p>
        </w:tc>
      </w:tr>
      <w:tr w:rsidR="00576DB2" w:rsidRPr="00E20CDA" w14:paraId="38BEBC62"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0B6953BE" w14:textId="63ABCC83" w:rsidR="00576DB2" w:rsidRPr="00E20CDA" w:rsidRDefault="009E68EF" w:rsidP="002D581E">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SAR</w:t>
            </w:r>
          </w:p>
        </w:tc>
        <w:tc>
          <w:tcPr>
            <w:tcW w:w="1710" w:type="dxa"/>
            <w:gridSpan w:val="3"/>
            <w:tcBorders>
              <w:top w:val="nil"/>
              <w:left w:val="nil"/>
              <w:bottom w:val="nil"/>
              <w:right w:val="nil"/>
            </w:tcBorders>
            <w:shd w:val="clear" w:color="auto" w:fill="auto"/>
            <w:noWrap/>
            <w:vAlign w:val="bottom"/>
          </w:tcPr>
          <w:p w14:paraId="62BE4736" w14:textId="571DD671" w:rsidR="00576DB2" w:rsidRPr="00E20CDA" w:rsidRDefault="00D74855" w:rsidP="002D581E">
            <w:pPr>
              <w:spacing w:after="0" w:line="240" w:lineRule="auto"/>
              <w:ind w:left="0" w:firstLine="0"/>
              <w:jc w:val="right"/>
              <w:rPr>
                <w:rFonts w:ascii="Gotham Rounded Book" w:hAnsi="Gotham Rounded Book"/>
                <w:sz w:val="20"/>
                <w:szCs w:val="20"/>
              </w:rPr>
            </w:pPr>
            <w:r w:rsidRPr="00D74855">
              <w:rPr>
                <w:rFonts w:ascii="Gotham Rounded Book" w:hAnsi="Gotham Rounded Book"/>
                <w:sz w:val="20"/>
                <w:szCs w:val="20"/>
              </w:rPr>
              <w:t>96,322.53</w:t>
            </w:r>
          </w:p>
        </w:tc>
      </w:tr>
      <w:tr w:rsidR="00576DB2" w:rsidRPr="00E20CDA" w14:paraId="7C761669"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424501AF" w14:textId="033B994F" w:rsidR="00576DB2" w:rsidRPr="00E20CDA" w:rsidRDefault="009E68EF" w:rsidP="002D581E">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Ahorro solidario</w:t>
            </w:r>
          </w:p>
        </w:tc>
        <w:tc>
          <w:tcPr>
            <w:tcW w:w="1710" w:type="dxa"/>
            <w:gridSpan w:val="3"/>
            <w:tcBorders>
              <w:top w:val="nil"/>
              <w:left w:val="nil"/>
              <w:bottom w:val="nil"/>
              <w:right w:val="nil"/>
            </w:tcBorders>
            <w:shd w:val="clear" w:color="auto" w:fill="auto"/>
            <w:noWrap/>
            <w:vAlign w:val="bottom"/>
          </w:tcPr>
          <w:p w14:paraId="6C5E65D9" w14:textId="4C47C3F1" w:rsidR="00576DB2" w:rsidRPr="00E20CDA" w:rsidRDefault="00D74855" w:rsidP="002D581E">
            <w:pPr>
              <w:spacing w:after="0" w:line="240" w:lineRule="auto"/>
              <w:ind w:left="0" w:firstLine="0"/>
              <w:jc w:val="right"/>
              <w:rPr>
                <w:rFonts w:ascii="Gotham Rounded Book" w:hAnsi="Gotham Rounded Book"/>
                <w:sz w:val="20"/>
                <w:szCs w:val="20"/>
              </w:rPr>
            </w:pPr>
            <w:r w:rsidRPr="00D74855">
              <w:rPr>
                <w:rFonts w:ascii="Gotham Rounded Book" w:hAnsi="Gotham Rounded Book"/>
                <w:sz w:val="20"/>
                <w:szCs w:val="20"/>
              </w:rPr>
              <w:t>9,794.33</w:t>
            </w:r>
          </w:p>
        </w:tc>
      </w:tr>
      <w:tr w:rsidR="009E68EF" w:rsidRPr="00E20CDA" w14:paraId="570077C8"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66B3A4AC" w14:textId="063F5B87" w:rsidR="009E68EF" w:rsidRPr="00E20CDA" w:rsidRDefault="009E68EF" w:rsidP="002D581E">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Impuesto sobre Nóminas</w:t>
            </w:r>
          </w:p>
        </w:tc>
        <w:tc>
          <w:tcPr>
            <w:tcW w:w="1710" w:type="dxa"/>
            <w:gridSpan w:val="3"/>
            <w:tcBorders>
              <w:top w:val="nil"/>
              <w:left w:val="nil"/>
              <w:bottom w:val="nil"/>
              <w:right w:val="nil"/>
            </w:tcBorders>
            <w:shd w:val="clear" w:color="auto" w:fill="auto"/>
            <w:noWrap/>
            <w:vAlign w:val="bottom"/>
          </w:tcPr>
          <w:p w14:paraId="14C14F00" w14:textId="08D0EADB" w:rsidR="009E68EF" w:rsidRPr="00E20CDA" w:rsidRDefault="00D74855" w:rsidP="002D581E">
            <w:pPr>
              <w:spacing w:after="0" w:line="240" w:lineRule="auto"/>
              <w:ind w:left="0" w:firstLine="0"/>
              <w:jc w:val="right"/>
              <w:rPr>
                <w:rFonts w:ascii="Gotham Rounded Book" w:hAnsi="Gotham Rounded Book"/>
                <w:sz w:val="20"/>
                <w:szCs w:val="20"/>
              </w:rPr>
            </w:pPr>
            <w:bookmarkStart w:id="1" w:name="OLE_LINK2"/>
            <w:r w:rsidRPr="00D74855">
              <w:rPr>
                <w:rFonts w:ascii="Gotham Rounded Book" w:hAnsi="Gotham Rounded Book"/>
                <w:sz w:val="20"/>
                <w:szCs w:val="20"/>
              </w:rPr>
              <w:t>189,790.12</w:t>
            </w:r>
            <w:bookmarkEnd w:id="1"/>
          </w:p>
        </w:tc>
      </w:tr>
      <w:tr w:rsidR="00D13939" w:rsidRPr="00E20CDA" w14:paraId="36D5C818"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2D31A9CF" w14:textId="5E9F1363" w:rsidR="00D13939" w:rsidRDefault="00D74855" w:rsidP="00D74855">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Fonacot-Créditos Otorgados</w:t>
            </w:r>
          </w:p>
        </w:tc>
        <w:tc>
          <w:tcPr>
            <w:tcW w:w="1710" w:type="dxa"/>
            <w:gridSpan w:val="3"/>
            <w:tcBorders>
              <w:top w:val="nil"/>
              <w:left w:val="nil"/>
              <w:bottom w:val="nil"/>
              <w:right w:val="nil"/>
            </w:tcBorders>
            <w:shd w:val="clear" w:color="auto" w:fill="auto"/>
            <w:noWrap/>
            <w:vAlign w:val="bottom"/>
          </w:tcPr>
          <w:p w14:paraId="654C2FE1" w14:textId="59EDA3DC" w:rsidR="00D13939" w:rsidRPr="00D13939" w:rsidRDefault="00D74855" w:rsidP="002D581E">
            <w:pPr>
              <w:spacing w:after="0" w:line="240" w:lineRule="auto"/>
              <w:ind w:left="0" w:firstLine="0"/>
              <w:jc w:val="right"/>
              <w:rPr>
                <w:rFonts w:ascii="Gotham Rounded Book" w:hAnsi="Gotham Rounded Book"/>
                <w:sz w:val="20"/>
                <w:szCs w:val="20"/>
              </w:rPr>
            </w:pPr>
            <w:r w:rsidRPr="00D74855">
              <w:rPr>
                <w:rFonts w:ascii="Gotham Rounded Book" w:hAnsi="Gotham Rounded Book"/>
                <w:sz w:val="20"/>
                <w:szCs w:val="20"/>
              </w:rPr>
              <w:t>177,740.98</w:t>
            </w:r>
          </w:p>
        </w:tc>
      </w:tr>
      <w:tr w:rsidR="009E68EF" w:rsidRPr="004E31C5" w14:paraId="5BA7B4C1" w14:textId="77777777" w:rsidTr="009E68EF">
        <w:trPr>
          <w:gridAfter w:val="1"/>
          <w:wAfter w:w="306" w:type="dxa"/>
          <w:trHeight w:val="270"/>
        </w:trPr>
        <w:tc>
          <w:tcPr>
            <w:tcW w:w="5954" w:type="dxa"/>
            <w:gridSpan w:val="2"/>
            <w:tcBorders>
              <w:top w:val="nil"/>
              <w:left w:val="nil"/>
              <w:bottom w:val="nil"/>
              <w:right w:val="nil"/>
            </w:tcBorders>
            <w:shd w:val="clear" w:color="auto" w:fill="auto"/>
            <w:noWrap/>
            <w:vAlign w:val="bottom"/>
            <w:hideMark/>
          </w:tcPr>
          <w:p w14:paraId="3ABFE432" w14:textId="77777777" w:rsidR="009E68EF" w:rsidRPr="00E20CDA" w:rsidRDefault="009E68EF" w:rsidP="00295A5D">
            <w:pPr>
              <w:spacing w:after="0" w:line="240" w:lineRule="auto"/>
              <w:ind w:left="0" w:firstLine="0"/>
              <w:jc w:val="left"/>
              <w:rPr>
                <w:rFonts w:ascii="Arial" w:eastAsia="Times New Roman" w:hAnsi="Arial" w:cs="Arial"/>
                <w:sz w:val="20"/>
                <w:szCs w:val="20"/>
                <w:lang w:eastAsia="es-MX"/>
              </w:rPr>
            </w:pPr>
          </w:p>
        </w:tc>
        <w:tc>
          <w:tcPr>
            <w:tcW w:w="1420" w:type="dxa"/>
            <w:gridSpan w:val="3"/>
            <w:tcBorders>
              <w:top w:val="single" w:sz="4" w:space="0" w:color="auto"/>
              <w:left w:val="nil"/>
              <w:bottom w:val="double" w:sz="6" w:space="0" w:color="auto"/>
              <w:right w:val="nil"/>
            </w:tcBorders>
            <w:shd w:val="clear" w:color="auto" w:fill="auto"/>
            <w:noWrap/>
            <w:vAlign w:val="bottom"/>
            <w:hideMark/>
          </w:tcPr>
          <w:p w14:paraId="6EA2190B" w14:textId="621974D0" w:rsidR="009E68EF" w:rsidRPr="004E31C5" w:rsidRDefault="009E68EF" w:rsidP="000A5BA2">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0A5BA2" w:rsidRPr="000A5BA2">
              <w:rPr>
                <w:rFonts w:ascii="Gotham Rounded Book" w:hAnsi="Gotham Rounded Book"/>
                <w:b/>
                <w:sz w:val="20"/>
                <w:szCs w:val="20"/>
              </w:rPr>
              <w:t>1,869,885.06</w:t>
            </w:r>
          </w:p>
        </w:tc>
      </w:tr>
      <w:tr w:rsidR="009E68EF" w:rsidRPr="00E20CDA" w14:paraId="292ECB57" w14:textId="77777777" w:rsidTr="009E68EF">
        <w:trPr>
          <w:trHeight w:val="255"/>
        </w:trPr>
        <w:tc>
          <w:tcPr>
            <w:tcW w:w="6028" w:type="dxa"/>
            <w:gridSpan w:val="3"/>
            <w:tcBorders>
              <w:top w:val="nil"/>
              <w:left w:val="nil"/>
              <w:bottom w:val="nil"/>
              <w:right w:val="nil"/>
            </w:tcBorders>
            <w:shd w:val="clear" w:color="auto" w:fill="auto"/>
            <w:noWrap/>
            <w:vAlign w:val="bottom"/>
          </w:tcPr>
          <w:p w14:paraId="01A8EAD3" w14:textId="77777777" w:rsidR="009E68EF" w:rsidRPr="00E20CDA" w:rsidRDefault="009E68EF" w:rsidP="002D581E">
            <w:pPr>
              <w:spacing w:after="0" w:line="240" w:lineRule="auto"/>
              <w:ind w:left="0" w:firstLine="0"/>
              <w:jc w:val="left"/>
              <w:rPr>
                <w:rFonts w:ascii="Gotham Rounded Book" w:hAnsi="Gotham Rounded Book"/>
                <w:sz w:val="20"/>
                <w:szCs w:val="20"/>
              </w:rPr>
            </w:pPr>
          </w:p>
        </w:tc>
        <w:tc>
          <w:tcPr>
            <w:tcW w:w="1652" w:type="dxa"/>
            <w:gridSpan w:val="3"/>
            <w:tcBorders>
              <w:top w:val="nil"/>
              <w:left w:val="nil"/>
              <w:bottom w:val="nil"/>
              <w:right w:val="nil"/>
            </w:tcBorders>
            <w:shd w:val="clear" w:color="auto" w:fill="auto"/>
            <w:noWrap/>
            <w:vAlign w:val="bottom"/>
          </w:tcPr>
          <w:p w14:paraId="4845648A" w14:textId="77777777" w:rsidR="009E68EF" w:rsidRPr="00E20CDA" w:rsidRDefault="009E68EF" w:rsidP="002D581E">
            <w:pPr>
              <w:spacing w:after="0" w:line="240" w:lineRule="auto"/>
              <w:ind w:left="0" w:firstLine="0"/>
              <w:jc w:val="right"/>
              <w:rPr>
                <w:rFonts w:ascii="Gotham Rounded Book" w:hAnsi="Gotham Rounded Book"/>
                <w:sz w:val="20"/>
                <w:szCs w:val="20"/>
              </w:rPr>
            </w:pPr>
          </w:p>
        </w:tc>
      </w:tr>
    </w:tbl>
    <w:p w14:paraId="4ED2DA9A" w14:textId="77777777" w:rsidR="002D581E" w:rsidRPr="002D581E" w:rsidRDefault="002D581E" w:rsidP="00006836">
      <w:pPr>
        <w:pStyle w:val="ROMANOS"/>
        <w:spacing w:after="0" w:line="240" w:lineRule="exact"/>
        <w:ind w:left="0" w:firstLine="0"/>
        <w:rPr>
          <w:rFonts w:ascii="Gotham Rounded Book" w:hAnsi="Gotham Rounded Book"/>
          <w:sz w:val="20"/>
          <w:szCs w:val="20"/>
        </w:rPr>
      </w:pPr>
    </w:p>
    <w:tbl>
      <w:tblPr>
        <w:tblW w:w="7207" w:type="dxa"/>
        <w:tblCellMar>
          <w:left w:w="70" w:type="dxa"/>
          <w:right w:w="70" w:type="dxa"/>
        </w:tblCellMar>
        <w:tblLook w:val="04A0" w:firstRow="1" w:lastRow="0" w:firstColumn="1" w:lastColumn="0" w:noHBand="0" w:noVBand="1"/>
      </w:tblPr>
      <w:tblGrid>
        <w:gridCol w:w="5954"/>
        <w:gridCol w:w="1253"/>
      </w:tblGrid>
      <w:tr w:rsidR="000F1F7C" w:rsidRPr="009E68EF" w14:paraId="22C0019A" w14:textId="77777777" w:rsidTr="009E68EF">
        <w:trPr>
          <w:trHeight w:val="255"/>
        </w:trPr>
        <w:tc>
          <w:tcPr>
            <w:tcW w:w="5954" w:type="dxa"/>
            <w:tcBorders>
              <w:top w:val="nil"/>
              <w:left w:val="nil"/>
              <w:bottom w:val="nil"/>
              <w:right w:val="nil"/>
            </w:tcBorders>
            <w:shd w:val="clear" w:color="auto" w:fill="auto"/>
            <w:noWrap/>
            <w:vAlign w:val="bottom"/>
          </w:tcPr>
          <w:p w14:paraId="2FBBF017" w14:textId="0D819152" w:rsidR="000F1F7C" w:rsidRPr="009E68EF" w:rsidRDefault="00B347A1" w:rsidP="00502A0D">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253" w:type="dxa"/>
            <w:tcBorders>
              <w:top w:val="nil"/>
              <w:left w:val="nil"/>
              <w:bottom w:val="nil"/>
              <w:right w:val="nil"/>
            </w:tcBorders>
            <w:shd w:val="clear" w:color="auto" w:fill="auto"/>
            <w:noWrap/>
            <w:vAlign w:val="bottom"/>
          </w:tcPr>
          <w:p w14:paraId="57F66650" w14:textId="21B3F368" w:rsidR="000F1F7C" w:rsidRPr="009E68EF" w:rsidRDefault="000F1F7C" w:rsidP="000F1F7C">
            <w:pPr>
              <w:spacing w:after="0" w:line="240" w:lineRule="auto"/>
              <w:ind w:left="0" w:firstLine="0"/>
              <w:jc w:val="right"/>
              <w:rPr>
                <w:rFonts w:ascii="Arial" w:eastAsia="Times New Roman" w:hAnsi="Arial" w:cs="Arial"/>
                <w:b/>
                <w:sz w:val="20"/>
                <w:szCs w:val="20"/>
                <w:lang w:eastAsia="es-MX"/>
              </w:rPr>
            </w:pPr>
          </w:p>
        </w:tc>
      </w:tr>
      <w:tr w:rsidR="000F1F7C" w:rsidRPr="00E20CDA" w14:paraId="5C5229C5" w14:textId="77777777" w:rsidTr="009E68EF">
        <w:trPr>
          <w:trHeight w:val="255"/>
        </w:trPr>
        <w:tc>
          <w:tcPr>
            <w:tcW w:w="5954" w:type="dxa"/>
            <w:tcBorders>
              <w:top w:val="nil"/>
              <w:left w:val="nil"/>
              <w:bottom w:val="nil"/>
              <w:right w:val="nil"/>
            </w:tcBorders>
            <w:shd w:val="clear" w:color="auto" w:fill="auto"/>
            <w:noWrap/>
            <w:vAlign w:val="bottom"/>
            <w:hideMark/>
          </w:tcPr>
          <w:p w14:paraId="3B0A320F" w14:textId="48ACA4E6" w:rsidR="000F1F7C" w:rsidRPr="00E20CDA" w:rsidRDefault="00502A0D" w:rsidP="000F1F7C">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253" w:type="dxa"/>
            <w:tcBorders>
              <w:top w:val="nil"/>
              <w:left w:val="nil"/>
              <w:bottom w:val="nil"/>
              <w:right w:val="nil"/>
            </w:tcBorders>
            <w:shd w:val="clear" w:color="auto" w:fill="auto"/>
            <w:noWrap/>
            <w:vAlign w:val="bottom"/>
            <w:hideMark/>
          </w:tcPr>
          <w:p w14:paraId="112F3D5F"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20,429.16</w:t>
            </w:r>
          </w:p>
        </w:tc>
      </w:tr>
      <w:tr w:rsidR="000F1F7C" w:rsidRPr="00E20CDA" w14:paraId="1E9A8DF7" w14:textId="77777777" w:rsidTr="009E68EF">
        <w:trPr>
          <w:trHeight w:val="255"/>
        </w:trPr>
        <w:tc>
          <w:tcPr>
            <w:tcW w:w="5954" w:type="dxa"/>
            <w:tcBorders>
              <w:top w:val="nil"/>
              <w:left w:val="nil"/>
              <w:bottom w:val="nil"/>
              <w:right w:val="nil"/>
            </w:tcBorders>
            <w:shd w:val="clear" w:color="auto" w:fill="auto"/>
            <w:noWrap/>
            <w:vAlign w:val="bottom"/>
            <w:hideMark/>
          </w:tcPr>
          <w:p w14:paraId="5719569D" w14:textId="3BAA160B" w:rsidR="000F1F7C" w:rsidRPr="00E20CDA" w:rsidRDefault="00502A0D" w:rsidP="000F1F7C">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253" w:type="dxa"/>
            <w:tcBorders>
              <w:top w:val="nil"/>
              <w:left w:val="nil"/>
              <w:bottom w:val="nil"/>
              <w:right w:val="nil"/>
            </w:tcBorders>
            <w:shd w:val="clear" w:color="auto" w:fill="auto"/>
            <w:noWrap/>
            <w:vAlign w:val="bottom"/>
            <w:hideMark/>
          </w:tcPr>
          <w:p w14:paraId="021C9C08"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0F1F7C" w:rsidRPr="00E20CDA" w14:paraId="3130A3D9" w14:textId="77777777" w:rsidTr="009E68EF">
        <w:trPr>
          <w:trHeight w:val="255"/>
        </w:trPr>
        <w:tc>
          <w:tcPr>
            <w:tcW w:w="5954" w:type="dxa"/>
            <w:tcBorders>
              <w:top w:val="nil"/>
              <w:left w:val="nil"/>
              <w:bottom w:val="nil"/>
              <w:right w:val="nil"/>
            </w:tcBorders>
            <w:shd w:val="clear" w:color="auto" w:fill="auto"/>
            <w:noWrap/>
            <w:vAlign w:val="bottom"/>
            <w:hideMark/>
          </w:tcPr>
          <w:p w14:paraId="2A44F2E8" w14:textId="2755359A" w:rsidR="000F1F7C" w:rsidRPr="00E20CDA" w:rsidRDefault="000F1F7C" w:rsidP="00502A0D">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sidR="00C74E65">
              <w:rPr>
                <w:rFonts w:ascii="Gotham Rounded Book" w:hAnsi="Gotham Rounded Book"/>
                <w:sz w:val="20"/>
                <w:szCs w:val="20"/>
              </w:rPr>
              <w:t>eguro de Separación I</w:t>
            </w:r>
            <w:r w:rsidR="00502A0D" w:rsidRPr="00E20CDA">
              <w:rPr>
                <w:rFonts w:ascii="Gotham Rounded Book" w:hAnsi="Gotham Rounded Book"/>
                <w:sz w:val="20"/>
                <w:szCs w:val="20"/>
              </w:rPr>
              <w:t>ndividualizado</w:t>
            </w:r>
          </w:p>
        </w:tc>
        <w:tc>
          <w:tcPr>
            <w:tcW w:w="1253" w:type="dxa"/>
            <w:tcBorders>
              <w:top w:val="nil"/>
              <w:left w:val="nil"/>
              <w:bottom w:val="nil"/>
              <w:right w:val="nil"/>
            </w:tcBorders>
            <w:shd w:val="clear" w:color="auto" w:fill="auto"/>
            <w:noWrap/>
            <w:vAlign w:val="bottom"/>
            <w:hideMark/>
          </w:tcPr>
          <w:p w14:paraId="32278546"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B347A1" w:rsidRPr="00E20CDA" w14:paraId="4A8BC6F1" w14:textId="77777777" w:rsidTr="009E68EF">
        <w:trPr>
          <w:trHeight w:val="255"/>
        </w:trPr>
        <w:tc>
          <w:tcPr>
            <w:tcW w:w="5954" w:type="dxa"/>
            <w:tcBorders>
              <w:top w:val="nil"/>
              <w:left w:val="nil"/>
              <w:bottom w:val="nil"/>
              <w:right w:val="nil"/>
            </w:tcBorders>
            <w:shd w:val="clear" w:color="auto" w:fill="auto"/>
            <w:noWrap/>
            <w:vAlign w:val="bottom"/>
          </w:tcPr>
          <w:p w14:paraId="51F7935F" w14:textId="7227C65B" w:rsidR="00B347A1" w:rsidRPr="00E20CDA" w:rsidRDefault="00B347A1" w:rsidP="00502A0D">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Servicio social pendiente de cobro</w:t>
            </w:r>
          </w:p>
        </w:tc>
        <w:tc>
          <w:tcPr>
            <w:tcW w:w="1253" w:type="dxa"/>
            <w:tcBorders>
              <w:top w:val="nil"/>
              <w:left w:val="nil"/>
              <w:bottom w:val="nil"/>
              <w:right w:val="nil"/>
            </w:tcBorders>
            <w:shd w:val="clear" w:color="auto" w:fill="auto"/>
            <w:noWrap/>
            <w:vAlign w:val="bottom"/>
          </w:tcPr>
          <w:p w14:paraId="21DD86DE" w14:textId="5D0F837E" w:rsidR="00B347A1" w:rsidRPr="00E20CDA" w:rsidRDefault="00B347A1"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1,500.00</w:t>
            </w:r>
          </w:p>
        </w:tc>
      </w:tr>
      <w:tr w:rsidR="000F1F7C" w:rsidRPr="00E20CDA" w14:paraId="79DEF0FB" w14:textId="77777777" w:rsidTr="009E68EF">
        <w:trPr>
          <w:trHeight w:val="255"/>
        </w:trPr>
        <w:tc>
          <w:tcPr>
            <w:tcW w:w="5954" w:type="dxa"/>
            <w:tcBorders>
              <w:top w:val="nil"/>
              <w:left w:val="nil"/>
              <w:bottom w:val="nil"/>
              <w:right w:val="nil"/>
            </w:tcBorders>
            <w:shd w:val="clear" w:color="auto" w:fill="auto"/>
            <w:noWrap/>
            <w:vAlign w:val="bottom"/>
            <w:hideMark/>
          </w:tcPr>
          <w:p w14:paraId="320A985F" w14:textId="3E633243" w:rsidR="000F1F7C" w:rsidRPr="00E20CDA" w:rsidRDefault="00B347A1" w:rsidP="00502A0D">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Saldo a favor póliza de gastos médicos mayores</w:t>
            </w:r>
          </w:p>
        </w:tc>
        <w:tc>
          <w:tcPr>
            <w:tcW w:w="1253" w:type="dxa"/>
            <w:tcBorders>
              <w:top w:val="nil"/>
              <w:left w:val="nil"/>
              <w:bottom w:val="nil"/>
              <w:right w:val="nil"/>
            </w:tcBorders>
            <w:shd w:val="clear" w:color="auto" w:fill="auto"/>
            <w:noWrap/>
            <w:vAlign w:val="bottom"/>
            <w:hideMark/>
          </w:tcPr>
          <w:p w14:paraId="5B843480" w14:textId="5FC1164E" w:rsidR="000F1F7C" w:rsidRPr="00E20CDA" w:rsidRDefault="00B347A1"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88,162.29</w:t>
            </w:r>
          </w:p>
        </w:tc>
      </w:tr>
      <w:tr w:rsidR="000F1F7C" w:rsidRPr="004E31C5" w14:paraId="0C5C3DF3" w14:textId="77777777" w:rsidTr="009E68EF">
        <w:trPr>
          <w:trHeight w:val="270"/>
        </w:trPr>
        <w:tc>
          <w:tcPr>
            <w:tcW w:w="5954" w:type="dxa"/>
            <w:tcBorders>
              <w:top w:val="nil"/>
              <w:left w:val="nil"/>
              <w:bottom w:val="nil"/>
              <w:right w:val="nil"/>
            </w:tcBorders>
            <w:shd w:val="clear" w:color="auto" w:fill="auto"/>
            <w:noWrap/>
            <w:vAlign w:val="bottom"/>
            <w:hideMark/>
          </w:tcPr>
          <w:p w14:paraId="78CFCF42" w14:textId="77777777" w:rsidR="000F1F7C" w:rsidRPr="00E20CDA" w:rsidRDefault="000F1F7C" w:rsidP="00B347A1">
            <w:pPr>
              <w:spacing w:after="0" w:line="240" w:lineRule="auto"/>
              <w:ind w:left="0" w:firstLine="0"/>
              <w:jc w:val="left"/>
              <w:rPr>
                <w:rFonts w:ascii="Arial" w:eastAsia="Times New Roman" w:hAnsi="Arial" w:cs="Arial"/>
                <w:sz w:val="20"/>
                <w:szCs w:val="20"/>
                <w:lang w:eastAsia="es-MX"/>
              </w:rPr>
            </w:pPr>
          </w:p>
        </w:tc>
        <w:tc>
          <w:tcPr>
            <w:tcW w:w="1253" w:type="dxa"/>
            <w:tcBorders>
              <w:top w:val="single" w:sz="4" w:space="0" w:color="auto"/>
              <w:left w:val="nil"/>
              <w:bottom w:val="double" w:sz="6" w:space="0" w:color="auto"/>
              <w:right w:val="nil"/>
            </w:tcBorders>
            <w:shd w:val="clear" w:color="auto" w:fill="auto"/>
            <w:noWrap/>
            <w:vAlign w:val="bottom"/>
            <w:hideMark/>
          </w:tcPr>
          <w:p w14:paraId="574EFD67" w14:textId="4EE0DB06" w:rsidR="000F1F7C" w:rsidRPr="004E31C5" w:rsidRDefault="00F77628" w:rsidP="000F1F7C">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B347A1" w:rsidRPr="00E20CDA">
              <w:rPr>
                <w:rFonts w:ascii="Gotham Rounded Book" w:hAnsi="Gotham Rounded Book"/>
                <w:b/>
                <w:sz w:val="20"/>
                <w:szCs w:val="20"/>
              </w:rPr>
              <w:t>335,496.24</w:t>
            </w:r>
          </w:p>
        </w:tc>
      </w:tr>
    </w:tbl>
    <w:p w14:paraId="3A57D9F2" w14:textId="77777777" w:rsidR="00B2580E" w:rsidRPr="004E31C5"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04170623" w14:textId="77777777" w:rsidR="00006836" w:rsidRDefault="00006836" w:rsidP="003D04D9">
      <w:pPr>
        <w:pStyle w:val="ROMANOS"/>
        <w:spacing w:after="0" w:line="240" w:lineRule="exact"/>
        <w:ind w:left="0" w:firstLine="0"/>
        <w:rPr>
          <w:rFonts w:ascii="Gotham Rounded Book" w:hAnsi="Gotham Rounded Book"/>
          <w:sz w:val="22"/>
          <w:szCs w:val="22"/>
        </w:rPr>
      </w:pPr>
    </w:p>
    <w:p w14:paraId="1CF49BE2" w14:textId="77777777" w:rsidR="00CF79FB" w:rsidRDefault="00CF79FB" w:rsidP="00CF79FB">
      <w:pPr>
        <w:pStyle w:val="ROMANOS"/>
        <w:spacing w:after="0" w:line="240" w:lineRule="exact"/>
        <w:ind w:left="0" w:firstLine="0"/>
        <w:rPr>
          <w:rFonts w:ascii="Gotham Rounded Book" w:hAnsi="Gotham Rounded Book"/>
          <w:sz w:val="22"/>
          <w:szCs w:val="22"/>
        </w:rPr>
      </w:pPr>
    </w:p>
    <w:p w14:paraId="6ED7A337" w14:textId="77777777" w:rsidR="00612F30" w:rsidRDefault="00612F30" w:rsidP="00CF79FB">
      <w:pPr>
        <w:pStyle w:val="ROMANOS"/>
        <w:spacing w:after="0" w:line="240" w:lineRule="exact"/>
        <w:ind w:left="0" w:firstLine="0"/>
        <w:rPr>
          <w:rFonts w:ascii="Gotham Rounded Book" w:hAnsi="Gotham Rounded Book"/>
          <w:sz w:val="22"/>
          <w:szCs w:val="22"/>
        </w:rPr>
      </w:pPr>
    </w:p>
    <w:p w14:paraId="619D79D4" w14:textId="77777777" w:rsidR="00612F30" w:rsidRDefault="00612F30" w:rsidP="00CF79FB">
      <w:pPr>
        <w:pStyle w:val="ROMANOS"/>
        <w:spacing w:after="0" w:line="240" w:lineRule="exact"/>
        <w:ind w:left="0" w:firstLine="0"/>
        <w:rPr>
          <w:rFonts w:ascii="Gotham Rounded Book" w:hAnsi="Gotham Rounded Book"/>
          <w:sz w:val="22"/>
          <w:szCs w:val="22"/>
        </w:rPr>
      </w:pPr>
    </w:p>
    <w:p w14:paraId="715795CD" w14:textId="77777777" w:rsidR="00612F30" w:rsidRDefault="00612F30" w:rsidP="00CF79FB">
      <w:pPr>
        <w:pStyle w:val="ROMANOS"/>
        <w:spacing w:after="0" w:line="240" w:lineRule="exact"/>
        <w:ind w:left="0" w:firstLine="0"/>
        <w:rPr>
          <w:rFonts w:ascii="Gotham Rounded Book" w:hAnsi="Gotham Rounded Book"/>
          <w:sz w:val="22"/>
          <w:szCs w:val="22"/>
        </w:rPr>
      </w:pPr>
    </w:p>
    <w:p w14:paraId="481AC6DE" w14:textId="77777777" w:rsidR="00612F30" w:rsidRDefault="00612F30" w:rsidP="00CF79FB">
      <w:pPr>
        <w:pStyle w:val="ROMANOS"/>
        <w:spacing w:after="0" w:line="240" w:lineRule="exact"/>
        <w:ind w:left="0" w:firstLine="0"/>
        <w:rPr>
          <w:rFonts w:ascii="Gotham Rounded Book" w:hAnsi="Gotham Rounded Book"/>
          <w:sz w:val="22"/>
          <w:szCs w:val="22"/>
        </w:rPr>
      </w:pPr>
    </w:p>
    <w:p w14:paraId="464C13FB" w14:textId="77777777" w:rsidR="00612F30" w:rsidRDefault="00612F30" w:rsidP="00CF79FB">
      <w:pPr>
        <w:pStyle w:val="ROMANOS"/>
        <w:spacing w:after="0" w:line="240" w:lineRule="exact"/>
        <w:ind w:left="0" w:firstLine="0"/>
        <w:rPr>
          <w:rFonts w:ascii="Gotham Rounded Book" w:hAnsi="Gotham Rounded Book"/>
          <w:sz w:val="22"/>
          <w:szCs w:val="22"/>
        </w:rPr>
      </w:pP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094A2129" w:rsidR="00AD079A" w:rsidRDefault="00871A85" w:rsidP="00AD079A">
      <w:pPr>
        <w:pStyle w:val="documento"/>
      </w:pPr>
      <w:r>
        <w:t xml:space="preserve">Los ingresos recaudados por </w:t>
      </w:r>
      <w:r w:rsidR="001B2FBE">
        <w:t>103,448,335.00</w:t>
      </w:r>
      <w:r w:rsidR="008A01A5">
        <w:t xml:space="preserve"> pesos </w:t>
      </w:r>
      <w:r>
        <w:t xml:space="preserve">corresponden a las </w:t>
      </w:r>
      <w:r w:rsidR="008A01A5">
        <w:t>T</w:t>
      </w:r>
      <w:r w:rsidR="00AD079A">
        <w:t xml:space="preserve">ransferencias </w:t>
      </w:r>
      <w:r>
        <w:t>Internas y A</w:t>
      </w:r>
      <w:r w:rsidR="008A01A5">
        <w:t xml:space="preserve">signaciones al Sector Público </w:t>
      </w:r>
      <w:r w:rsidR="007136A8">
        <w:t xml:space="preserve">de </w:t>
      </w:r>
      <w:r w:rsidR="00AD079A">
        <w:t>la Secretaría de Finanzas del Gobierno de la Ciudad de México</w:t>
      </w:r>
      <w:r w:rsidR="008A01A5">
        <w:t>, para la operación del Instituto</w:t>
      </w:r>
      <w:r w:rsidR="00322CBD">
        <w:t>.</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0A2346B4" w:rsidR="00B2580E" w:rsidRPr="00272BD4" w:rsidRDefault="00B2580E" w:rsidP="006A195E">
            <w:pPr>
              <w:pStyle w:val="ENCTAB"/>
              <w:spacing w:after="0"/>
              <w:rPr>
                <w:sz w:val="14"/>
                <w:szCs w:val="14"/>
              </w:rPr>
            </w:pPr>
            <w:r>
              <w:rPr>
                <w:sz w:val="14"/>
                <w:szCs w:val="14"/>
              </w:rPr>
              <w:t>201</w:t>
            </w:r>
            <w:r w:rsidR="00322CBD">
              <w:rPr>
                <w:sz w:val="14"/>
                <w:szCs w:val="14"/>
              </w:rPr>
              <w:t>7</w:t>
            </w:r>
          </w:p>
        </w:tc>
        <w:tc>
          <w:tcPr>
            <w:tcW w:w="1418" w:type="dxa"/>
            <w:shd w:val="clear" w:color="auto" w:fill="D2D3D5"/>
            <w:vAlign w:val="center"/>
          </w:tcPr>
          <w:p w14:paraId="071E907B" w14:textId="08E325AF" w:rsidR="00B2580E" w:rsidRPr="00272BD4" w:rsidRDefault="00B2580E" w:rsidP="006A195E">
            <w:pPr>
              <w:pStyle w:val="ENCTAB"/>
              <w:spacing w:after="0"/>
              <w:rPr>
                <w:sz w:val="14"/>
                <w:szCs w:val="14"/>
              </w:rPr>
            </w:pPr>
            <w:r>
              <w:rPr>
                <w:sz w:val="14"/>
                <w:szCs w:val="14"/>
              </w:rPr>
              <w:t>201</w:t>
            </w:r>
            <w:r w:rsidR="00322CBD">
              <w:rPr>
                <w:sz w:val="14"/>
                <w:szCs w:val="14"/>
              </w:rPr>
              <w:t>6</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67B76629" w:rsidR="00B2580E" w:rsidRPr="0063233F" w:rsidRDefault="00482B0C" w:rsidP="00006836">
            <w:pPr>
              <w:pStyle w:val="TEXTAB"/>
              <w:spacing w:after="0"/>
              <w:ind w:right="237"/>
              <w:rPr>
                <w:sz w:val="12"/>
                <w:szCs w:val="12"/>
                <w:lang w:val="es-ES_tradnl"/>
              </w:rPr>
            </w:pPr>
            <w:r>
              <w:rPr>
                <w:sz w:val="12"/>
                <w:szCs w:val="12"/>
                <w:lang w:val="es-ES_tradnl"/>
              </w:rPr>
              <w:t>INGRESOS POR RENDIMIENTOS FINANCIEROS DEL FONDO DE INVERSIÓN DEL INFODF</w:t>
            </w:r>
          </w:p>
        </w:tc>
        <w:tc>
          <w:tcPr>
            <w:tcW w:w="1418" w:type="dxa"/>
            <w:vAlign w:val="center"/>
          </w:tcPr>
          <w:p w14:paraId="74919786" w14:textId="4BCB16FD" w:rsidR="00B2580E" w:rsidRPr="0063233F" w:rsidRDefault="0045654A" w:rsidP="00006836">
            <w:pPr>
              <w:pStyle w:val="TEXTAB"/>
              <w:spacing w:after="0"/>
              <w:ind w:right="237"/>
              <w:jc w:val="right"/>
              <w:rPr>
                <w:sz w:val="12"/>
                <w:szCs w:val="12"/>
                <w:lang w:val="es-ES_tradnl"/>
              </w:rPr>
            </w:pPr>
            <w:r>
              <w:rPr>
                <w:sz w:val="12"/>
                <w:szCs w:val="12"/>
                <w:lang w:val="es-ES_tradnl"/>
              </w:rPr>
              <w:t>443,903.72</w:t>
            </w:r>
          </w:p>
        </w:tc>
        <w:tc>
          <w:tcPr>
            <w:tcW w:w="1418" w:type="dxa"/>
            <w:vAlign w:val="center"/>
          </w:tcPr>
          <w:p w14:paraId="106EDCDA" w14:textId="1CD929FB" w:rsidR="00B2580E" w:rsidRPr="0063233F" w:rsidRDefault="004317DD" w:rsidP="00006836">
            <w:pPr>
              <w:pStyle w:val="TEXTAB"/>
              <w:spacing w:after="0"/>
              <w:ind w:right="237"/>
              <w:jc w:val="right"/>
              <w:rPr>
                <w:sz w:val="12"/>
                <w:szCs w:val="12"/>
                <w:lang w:val="es-ES_tradnl"/>
              </w:rPr>
            </w:pPr>
            <w:r>
              <w:rPr>
                <w:sz w:val="12"/>
                <w:szCs w:val="12"/>
                <w:lang w:val="es-ES_tradnl"/>
              </w:rPr>
              <w:t>204,348.31</w:t>
            </w:r>
          </w:p>
        </w:tc>
      </w:tr>
      <w:tr w:rsidR="00B2580E" w:rsidRPr="0063233F" w14:paraId="7606E248" w14:textId="77777777" w:rsidTr="00DD738A">
        <w:trPr>
          <w:trHeight w:val="280"/>
          <w:jc w:val="center"/>
        </w:trPr>
        <w:tc>
          <w:tcPr>
            <w:tcW w:w="5672" w:type="dxa"/>
            <w:vAlign w:val="center"/>
          </w:tcPr>
          <w:p w14:paraId="5175A786" w14:textId="792507DA" w:rsidR="00B2580E" w:rsidRDefault="00DD738A" w:rsidP="00DD738A">
            <w:pPr>
              <w:pStyle w:val="TEXTAB"/>
              <w:spacing w:after="0"/>
              <w:ind w:left="0" w:right="237" w:firstLine="0"/>
              <w:rPr>
                <w:sz w:val="12"/>
                <w:szCs w:val="12"/>
                <w:lang w:val="es-ES_tradnl"/>
              </w:rPr>
            </w:pPr>
            <w:r>
              <w:rPr>
                <w:sz w:val="12"/>
                <w:szCs w:val="12"/>
                <w:lang w:val="es-ES_tradnl"/>
              </w:rPr>
              <w:t>OTROS INGRESOS POR INDEMNIZACIÓN POR SEGUROS BAN</w:t>
            </w:r>
            <w:r w:rsidR="00875D75">
              <w:rPr>
                <w:sz w:val="12"/>
                <w:szCs w:val="12"/>
                <w:lang w:val="es-ES_tradnl"/>
              </w:rPr>
              <w:t>ORTE DERIVADO DE LA INUNDACIÓN DE</w:t>
            </w:r>
            <w:r>
              <w:rPr>
                <w:sz w:val="12"/>
                <w:szCs w:val="12"/>
                <w:lang w:val="es-ES_tradnl"/>
              </w:rPr>
              <w:t xml:space="preserve"> LAS INSTALACIONES DEL INSTITUTO.</w:t>
            </w:r>
          </w:p>
          <w:p w14:paraId="494864C7" w14:textId="26CF0F46" w:rsidR="00DD738A" w:rsidRPr="0063233F" w:rsidRDefault="00DD738A" w:rsidP="00DD738A">
            <w:pPr>
              <w:pStyle w:val="TEXTAB"/>
              <w:spacing w:after="0"/>
              <w:ind w:left="0" w:right="237" w:firstLine="0"/>
              <w:rPr>
                <w:sz w:val="12"/>
                <w:szCs w:val="12"/>
                <w:lang w:val="es-ES_tradnl"/>
              </w:rPr>
            </w:pPr>
          </w:p>
        </w:tc>
        <w:tc>
          <w:tcPr>
            <w:tcW w:w="1418" w:type="dxa"/>
            <w:vAlign w:val="center"/>
          </w:tcPr>
          <w:p w14:paraId="794F0539" w14:textId="04B90AD0" w:rsidR="00B2580E" w:rsidRPr="0063233F" w:rsidRDefault="00B2580E" w:rsidP="00006836">
            <w:pPr>
              <w:pStyle w:val="TEXTAB"/>
              <w:spacing w:after="0"/>
              <w:ind w:right="237"/>
              <w:jc w:val="right"/>
              <w:rPr>
                <w:sz w:val="12"/>
                <w:szCs w:val="12"/>
                <w:lang w:val="es-ES_tradnl"/>
              </w:rPr>
            </w:pPr>
          </w:p>
        </w:tc>
        <w:tc>
          <w:tcPr>
            <w:tcW w:w="1418" w:type="dxa"/>
            <w:vAlign w:val="center"/>
          </w:tcPr>
          <w:p w14:paraId="6788613A" w14:textId="49E07E3A" w:rsidR="00B2580E" w:rsidRPr="0063233F" w:rsidRDefault="00322CBD" w:rsidP="00006836">
            <w:pPr>
              <w:pStyle w:val="TEXTAB"/>
              <w:spacing w:after="0"/>
              <w:ind w:right="237"/>
              <w:jc w:val="right"/>
              <w:rPr>
                <w:sz w:val="12"/>
                <w:szCs w:val="12"/>
                <w:lang w:val="es-ES_tradnl"/>
              </w:rPr>
            </w:pPr>
            <w:r>
              <w:rPr>
                <w:sz w:val="12"/>
                <w:szCs w:val="12"/>
                <w:lang w:val="es-ES_tradnl"/>
              </w:rPr>
              <w:t>297,066.77</w:t>
            </w:r>
          </w:p>
        </w:tc>
      </w:tr>
      <w:tr w:rsidR="00DD738A" w:rsidRPr="0063233F" w14:paraId="3FE06426" w14:textId="77777777" w:rsidTr="00006836">
        <w:trPr>
          <w:trHeight w:val="280"/>
          <w:jc w:val="center"/>
        </w:trPr>
        <w:tc>
          <w:tcPr>
            <w:tcW w:w="5672" w:type="dxa"/>
            <w:tcBorders>
              <w:bottom w:val="double" w:sz="4" w:space="0" w:color="auto"/>
            </w:tcBorders>
            <w:vAlign w:val="center"/>
          </w:tcPr>
          <w:p w14:paraId="34E9F5EF" w14:textId="2BDB2ACA" w:rsidR="00DD738A" w:rsidRDefault="00DD738A" w:rsidP="00322CBD">
            <w:pPr>
              <w:pStyle w:val="TEXTAB"/>
              <w:spacing w:after="0"/>
              <w:ind w:left="0" w:right="237" w:firstLine="0"/>
              <w:rPr>
                <w:sz w:val="12"/>
                <w:szCs w:val="12"/>
                <w:lang w:val="es-ES_tradnl"/>
              </w:rPr>
            </w:pPr>
            <w:r>
              <w:rPr>
                <w:sz w:val="12"/>
                <w:szCs w:val="12"/>
                <w:lang w:val="es-ES_tradnl"/>
              </w:rPr>
              <w:t>OTROS INGRESOS POR</w:t>
            </w:r>
            <w:r w:rsidR="00322CBD">
              <w:rPr>
                <w:sz w:val="12"/>
                <w:szCs w:val="12"/>
                <w:lang w:val="es-ES_tradnl"/>
              </w:rPr>
              <w:t xml:space="preserve"> COMPRA DE BASES POR LA LICITACIÓN PÚBLICA DE GASTOS MÉDICOS MAYORES</w:t>
            </w:r>
            <w:r>
              <w:rPr>
                <w:sz w:val="12"/>
                <w:szCs w:val="12"/>
                <w:lang w:val="es-ES_tradnl"/>
              </w:rPr>
              <w:t>.</w:t>
            </w:r>
          </w:p>
        </w:tc>
        <w:tc>
          <w:tcPr>
            <w:tcW w:w="1418" w:type="dxa"/>
            <w:tcBorders>
              <w:bottom w:val="double" w:sz="4" w:space="0" w:color="auto"/>
            </w:tcBorders>
            <w:vAlign w:val="center"/>
          </w:tcPr>
          <w:p w14:paraId="0E8CAC7E" w14:textId="12056439" w:rsidR="00DD738A" w:rsidRDefault="00322CBD" w:rsidP="00006836">
            <w:pPr>
              <w:pStyle w:val="TEXTAB"/>
              <w:spacing w:after="0"/>
              <w:ind w:right="237"/>
              <w:jc w:val="right"/>
              <w:rPr>
                <w:sz w:val="12"/>
                <w:szCs w:val="12"/>
                <w:lang w:val="es-ES_tradnl"/>
              </w:rPr>
            </w:pPr>
            <w:r>
              <w:rPr>
                <w:sz w:val="12"/>
                <w:szCs w:val="12"/>
                <w:lang w:val="es-ES_tradnl"/>
              </w:rPr>
              <w:t>1,500.00</w:t>
            </w:r>
          </w:p>
        </w:tc>
        <w:tc>
          <w:tcPr>
            <w:tcW w:w="1418" w:type="dxa"/>
            <w:tcBorders>
              <w:bottom w:val="double" w:sz="4" w:space="0" w:color="auto"/>
            </w:tcBorders>
            <w:vAlign w:val="center"/>
          </w:tcPr>
          <w:p w14:paraId="45C20902" w14:textId="259B23DE" w:rsidR="00DD738A" w:rsidRDefault="00322CBD" w:rsidP="00006836">
            <w:pPr>
              <w:pStyle w:val="TEXTAB"/>
              <w:spacing w:after="0"/>
              <w:ind w:right="237"/>
              <w:jc w:val="right"/>
              <w:rPr>
                <w:sz w:val="12"/>
                <w:szCs w:val="12"/>
                <w:lang w:val="es-ES_tradnl"/>
              </w:rPr>
            </w:pPr>
            <w:r>
              <w:rPr>
                <w:sz w:val="12"/>
                <w:szCs w:val="12"/>
                <w:lang w:val="es-ES_tradnl"/>
              </w:rPr>
              <w:t>800.00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3ABC8F66" w14:textId="77777777" w:rsidTr="00006836">
        <w:trPr>
          <w:trHeight w:val="280"/>
          <w:jc w:val="center"/>
        </w:trPr>
        <w:tc>
          <w:tcPr>
            <w:tcW w:w="5672" w:type="dxa"/>
            <w:shd w:val="clear" w:color="auto" w:fill="D2D3D5"/>
            <w:vAlign w:val="center"/>
          </w:tcPr>
          <w:p w14:paraId="5767217A"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616CB25A" w:rsidR="00B2580E" w:rsidRPr="0063233F" w:rsidRDefault="0045654A" w:rsidP="00006836">
            <w:pPr>
              <w:pStyle w:val="TEXTAB"/>
              <w:spacing w:after="0"/>
              <w:ind w:right="237"/>
              <w:jc w:val="right"/>
              <w:rPr>
                <w:sz w:val="12"/>
                <w:szCs w:val="12"/>
                <w:lang w:val="es-ES_tradnl"/>
              </w:rPr>
            </w:pPr>
            <w:r>
              <w:rPr>
                <w:sz w:val="12"/>
                <w:szCs w:val="12"/>
                <w:lang w:val="es-ES_tradnl"/>
              </w:rPr>
              <w:t>445,403.72</w:t>
            </w:r>
          </w:p>
        </w:tc>
        <w:tc>
          <w:tcPr>
            <w:tcW w:w="1418" w:type="dxa"/>
            <w:shd w:val="clear" w:color="auto" w:fill="D2D3D5"/>
            <w:vAlign w:val="center"/>
          </w:tcPr>
          <w:p w14:paraId="79A1440D" w14:textId="075AEBD1" w:rsidR="00B2580E" w:rsidRPr="0063233F" w:rsidRDefault="004317DD" w:rsidP="00006836">
            <w:pPr>
              <w:pStyle w:val="TEXTAB"/>
              <w:spacing w:after="0"/>
              <w:ind w:right="237"/>
              <w:jc w:val="right"/>
              <w:rPr>
                <w:sz w:val="12"/>
                <w:szCs w:val="12"/>
                <w:lang w:val="es-ES_tradnl"/>
              </w:rPr>
            </w:pPr>
            <w:r>
              <w:rPr>
                <w:sz w:val="12"/>
                <w:szCs w:val="12"/>
                <w:lang w:val="es-ES_tradnl"/>
              </w:rPr>
              <w:t>502,215.08</w:t>
            </w:r>
          </w:p>
        </w:tc>
      </w:tr>
    </w:tbl>
    <w:p w14:paraId="6ED60C73" w14:textId="77777777" w:rsidR="00B2580E" w:rsidRDefault="00B2580E" w:rsidP="00B2580E">
      <w:pPr>
        <w:pStyle w:val="ROMANOS"/>
        <w:spacing w:after="0" w:line="240" w:lineRule="exact"/>
      </w:pPr>
    </w:p>
    <w:p w14:paraId="5243B065" w14:textId="77777777" w:rsidR="006365FC" w:rsidRDefault="006365FC" w:rsidP="00B2580E">
      <w:pPr>
        <w:pStyle w:val="documento"/>
        <w:rPr>
          <w:b/>
        </w:rPr>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5F5ED530" w:rsidR="00FE5ED9" w:rsidRDefault="00DC5397" w:rsidP="00BD10C7">
      <w:pPr>
        <w:pStyle w:val="documento"/>
        <w:numPr>
          <w:ilvl w:val="0"/>
          <w:numId w:val="10"/>
        </w:numPr>
        <w:tabs>
          <w:tab w:val="left" w:pos="567"/>
        </w:tabs>
      </w:pPr>
      <w:r>
        <w:t>Servicios Personales por $</w:t>
      </w:r>
      <w:r w:rsidR="002B74BE">
        <w:t>81,576,772.47</w:t>
      </w:r>
    </w:p>
    <w:p w14:paraId="1E7B3E49" w14:textId="6752BAA5" w:rsidR="00DC5397" w:rsidRDefault="00DC5397" w:rsidP="00FE5ED9">
      <w:pPr>
        <w:pStyle w:val="documento"/>
        <w:tabs>
          <w:tab w:val="left" w:pos="567"/>
        </w:tabs>
        <w:ind w:left="567"/>
      </w:pPr>
      <w:r>
        <w:t>El gasto corresponde al pago de las remuneraciones al personal de carácter permanente y transitorio que trabaja en el Instituto, prestaciones de seguridad social y económicas</w:t>
      </w:r>
      <w:r w:rsidR="002810AF">
        <w:t>.</w:t>
      </w:r>
    </w:p>
    <w:p w14:paraId="67664B6E" w14:textId="77777777" w:rsidR="00DC5397" w:rsidRDefault="00DC5397" w:rsidP="00DC5397">
      <w:pPr>
        <w:pStyle w:val="documento"/>
        <w:tabs>
          <w:tab w:val="left" w:pos="567"/>
        </w:tabs>
        <w:ind w:left="567"/>
      </w:pPr>
    </w:p>
    <w:p w14:paraId="734A3CF7" w14:textId="77777777" w:rsidR="00210B47" w:rsidRDefault="00210B47" w:rsidP="00DC5397">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4363942A"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Pr>
          <w:rFonts w:ascii="Gotham Rounded Book" w:hAnsi="Gotham Rounded Book"/>
          <w:sz w:val="22"/>
          <w:szCs w:val="22"/>
        </w:rPr>
        <w:t>El importe reflejado representa la depreciación y amortización del 201</w:t>
      </w:r>
      <w:r w:rsidR="00D93444">
        <w:rPr>
          <w:rFonts w:ascii="Gotham Rounded Book" w:hAnsi="Gotham Rounded Book"/>
          <w:sz w:val="22"/>
          <w:szCs w:val="22"/>
        </w:rPr>
        <w:t xml:space="preserve">7 por </w:t>
      </w:r>
      <w:r w:rsidR="0097509C">
        <w:rPr>
          <w:rFonts w:ascii="Gotham Rounded Book" w:hAnsi="Gotham Rounded Book"/>
          <w:sz w:val="22"/>
          <w:szCs w:val="22"/>
        </w:rPr>
        <w:t>2,173,689.68</w:t>
      </w:r>
      <w:r w:rsidR="00BD10C7">
        <w:rPr>
          <w:rFonts w:ascii="Gotham Rounded Book" w:hAnsi="Gotham Rounded Book"/>
          <w:sz w:val="22"/>
          <w:szCs w:val="22"/>
        </w:rPr>
        <w:t xml:space="preserve"> </w:t>
      </w:r>
      <w:r w:rsidR="00D93444">
        <w:rPr>
          <w:rFonts w:ascii="Gotham Rounded Book" w:hAnsi="Gotham Rounded Book"/>
          <w:sz w:val="22"/>
          <w:szCs w:val="22"/>
        </w:rPr>
        <w:t>pesos.</w:t>
      </w:r>
    </w:p>
    <w:p w14:paraId="5A8C1B0A" w14:textId="77777777" w:rsidR="00DE714F" w:rsidRDefault="00DE714F" w:rsidP="00DE714F">
      <w:pPr>
        <w:pStyle w:val="ROMANOS"/>
        <w:tabs>
          <w:tab w:val="clear" w:pos="720"/>
        </w:tabs>
        <w:spacing w:after="0" w:line="276" w:lineRule="auto"/>
        <w:ind w:left="0" w:firstLine="0"/>
        <w:rPr>
          <w:rFonts w:ascii="Gotham Rounded Book" w:hAnsi="Gotham Rounded Book"/>
          <w:sz w:val="22"/>
          <w:szCs w:val="22"/>
        </w:rPr>
      </w:pPr>
    </w:p>
    <w:p w14:paraId="5FC7F87F" w14:textId="77777777" w:rsidR="00210B47" w:rsidRDefault="00210B47" w:rsidP="00DE714F">
      <w:pPr>
        <w:pStyle w:val="ROMANOS"/>
        <w:tabs>
          <w:tab w:val="clear" w:pos="720"/>
        </w:tabs>
        <w:spacing w:after="0" w:line="276" w:lineRule="auto"/>
        <w:ind w:left="0" w:firstLine="0"/>
        <w:rPr>
          <w:rFonts w:ascii="Gotham Rounded Book" w:hAnsi="Gotham Rounded Book"/>
          <w:sz w:val="22"/>
          <w:szCs w:val="22"/>
        </w:rPr>
      </w:pPr>
    </w:p>
    <w:p w14:paraId="1595175A" w14:textId="77777777" w:rsidR="00210B47" w:rsidRDefault="00210B47" w:rsidP="00DE714F">
      <w:pPr>
        <w:pStyle w:val="ROMANOS"/>
        <w:tabs>
          <w:tab w:val="clear" w:pos="720"/>
        </w:tabs>
        <w:spacing w:after="0" w:line="276" w:lineRule="auto"/>
        <w:ind w:left="0" w:firstLine="0"/>
        <w:rPr>
          <w:rFonts w:ascii="Gotham Rounded Book" w:hAnsi="Gotham Rounded Book"/>
          <w:sz w:val="22"/>
          <w:szCs w:val="22"/>
        </w:rPr>
      </w:pPr>
    </w:p>
    <w:p w14:paraId="13AD8ACD" w14:textId="77777777" w:rsidR="00210B47" w:rsidRDefault="00210B47" w:rsidP="00DE714F">
      <w:pPr>
        <w:pStyle w:val="ROMANOS"/>
        <w:tabs>
          <w:tab w:val="clear" w:pos="720"/>
        </w:tabs>
        <w:spacing w:after="0" w:line="276" w:lineRule="auto"/>
        <w:ind w:left="0" w:firstLine="0"/>
        <w:rPr>
          <w:rFonts w:ascii="Gotham Rounded Book" w:hAnsi="Gotham Rounded Book"/>
          <w:sz w:val="22"/>
          <w:szCs w:val="22"/>
        </w:rPr>
      </w:pPr>
    </w:p>
    <w:p w14:paraId="03B2894F" w14:textId="77777777" w:rsidR="00210B47" w:rsidRPr="0000174D" w:rsidRDefault="00210B47"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3B2B12" w:rsidRDefault="00B2580E" w:rsidP="00254975">
      <w:pPr>
        <w:pStyle w:val="documento"/>
        <w:tabs>
          <w:tab w:val="left" w:pos="567"/>
        </w:tabs>
        <w:rPr>
          <w:b/>
        </w:rPr>
      </w:pPr>
      <w:r w:rsidRPr="003B2B12">
        <w:rPr>
          <w:b/>
        </w:rPr>
        <w:t>III)</w:t>
      </w:r>
      <w:r w:rsidRPr="003B2B12">
        <w:rPr>
          <w:b/>
        </w:rPr>
        <w:tab/>
        <w:t>Notas al Estado de Variación en la Hacienda Pública</w:t>
      </w:r>
    </w:p>
    <w:p w14:paraId="1A0BEC46" w14:textId="77777777" w:rsidR="00B2580E" w:rsidRPr="00196151" w:rsidRDefault="00B2580E" w:rsidP="00B2580E">
      <w:pPr>
        <w:pStyle w:val="documento"/>
      </w:pPr>
    </w:p>
    <w:p w14:paraId="1A32897F" w14:textId="32842FF6" w:rsidR="00941FAA" w:rsidRDefault="00941FAA" w:rsidP="00B2580E">
      <w:pPr>
        <w:pStyle w:val="documento"/>
      </w:pPr>
      <w:r>
        <w:t>Las modificaciones corresponden a la compra de los siguientes bienes:</w:t>
      </w:r>
    </w:p>
    <w:p w14:paraId="3D37C77A" w14:textId="77777777" w:rsidR="009C1ABC" w:rsidRDefault="009C1ABC" w:rsidP="00B2580E">
      <w:pPr>
        <w:pStyle w:val="documen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40"/>
      </w:tblGrid>
      <w:tr w:rsidR="00422CF7" w:rsidRPr="00422CF7" w14:paraId="4BC99B7F" w14:textId="77777777" w:rsidTr="00422CF7">
        <w:tc>
          <w:tcPr>
            <w:tcW w:w="4678" w:type="dxa"/>
          </w:tcPr>
          <w:p w14:paraId="549E13CE" w14:textId="0BD94327" w:rsidR="00422CF7" w:rsidRPr="00422CF7" w:rsidRDefault="00422CF7" w:rsidP="007D292C">
            <w:pPr>
              <w:pStyle w:val="documento"/>
              <w:numPr>
                <w:ilvl w:val="0"/>
                <w:numId w:val="12"/>
              </w:numPr>
              <w:rPr>
                <w:sz w:val="20"/>
                <w:szCs w:val="20"/>
              </w:rPr>
            </w:pPr>
            <w:r w:rsidRPr="00422CF7">
              <w:rPr>
                <w:sz w:val="20"/>
                <w:szCs w:val="20"/>
              </w:rPr>
              <w:t>Mobiliario y Equipo de Administración</w:t>
            </w:r>
          </w:p>
        </w:tc>
        <w:tc>
          <w:tcPr>
            <w:tcW w:w="1440" w:type="dxa"/>
          </w:tcPr>
          <w:p w14:paraId="4F6AB5B4" w14:textId="6BA65B62" w:rsidR="00422CF7" w:rsidRPr="006626D6" w:rsidRDefault="00422CF7" w:rsidP="00422CF7">
            <w:pPr>
              <w:pStyle w:val="documento"/>
              <w:ind w:right="-108"/>
              <w:jc w:val="right"/>
              <w:rPr>
                <w:sz w:val="20"/>
                <w:szCs w:val="20"/>
              </w:rPr>
            </w:pPr>
            <w:r w:rsidRPr="006626D6">
              <w:rPr>
                <w:sz w:val="20"/>
                <w:szCs w:val="20"/>
              </w:rPr>
              <w:t>12,860.73</w:t>
            </w:r>
          </w:p>
        </w:tc>
      </w:tr>
      <w:tr w:rsidR="00422CF7" w:rsidRPr="00422CF7" w14:paraId="7D769C6B" w14:textId="77777777" w:rsidTr="00422CF7">
        <w:tc>
          <w:tcPr>
            <w:tcW w:w="4678" w:type="dxa"/>
          </w:tcPr>
          <w:p w14:paraId="105F4090" w14:textId="4D4436A0" w:rsidR="00422CF7" w:rsidRPr="00422CF7" w:rsidRDefault="00422CF7" w:rsidP="007D292C">
            <w:pPr>
              <w:pStyle w:val="documento"/>
              <w:numPr>
                <w:ilvl w:val="0"/>
                <w:numId w:val="12"/>
              </w:numPr>
              <w:rPr>
                <w:sz w:val="20"/>
                <w:szCs w:val="20"/>
              </w:rPr>
            </w:pPr>
            <w:r>
              <w:rPr>
                <w:sz w:val="20"/>
                <w:szCs w:val="20"/>
              </w:rPr>
              <w:t xml:space="preserve">Licencias </w:t>
            </w:r>
          </w:p>
        </w:tc>
        <w:tc>
          <w:tcPr>
            <w:tcW w:w="1440" w:type="dxa"/>
            <w:tcBorders>
              <w:bottom w:val="single" w:sz="4" w:space="0" w:color="auto"/>
            </w:tcBorders>
          </w:tcPr>
          <w:p w14:paraId="313C9D98" w14:textId="48A1571A" w:rsidR="00422CF7" w:rsidRPr="006626D6" w:rsidRDefault="00422CF7" w:rsidP="00422CF7">
            <w:pPr>
              <w:pStyle w:val="documento"/>
              <w:ind w:right="-108"/>
              <w:jc w:val="right"/>
              <w:rPr>
                <w:sz w:val="20"/>
                <w:szCs w:val="20"/>
              </w:rPr>
            </w:pPr>
            <w:r w:rsidRPr="006626D6">
              <w:rPr>
                <w:sz w:val="20"/>
                <w:szCs w:val="20"/>
              </w:rPr>
              <w:t>196,040.00</w:t>
            </w:r>
          </w:p>
        </w:tc>
      </w:tr>
      <w:tr w:rsidR="00422CF7" w:rsidRPr="00422CF7" w14:paraId="047640FE" w14:textId="77777777" w:rsidTr="00422CF7">
        <w:tc>
          <w:tcPr>
            <w:tcW w:w="4678" w:type="dxa"/>
          </w:tcPr>
          <w:p w14:paraId="4A5BAAA8" w14:textId="11022B41" w:rsidR="00422CF7" w:rsidRPr="00422CF7" w:rsidRDefault="00422CF7" w:rsidP="00422CF7">
            <w:pPr>
              <w:pStyle w:val="documento"/>
              <w:jc w:val="center"/>
              <w:rPr>
                <w:sz w:val="20"/>
                <w:szCs w:val="20"/>
              </w:rPr>
            </w:pPr>
            <w:r>
              <w:t>Total</w:t>
            </w:r>
          </w:p>
        </w:tc>
        <w:tc>
          <w:tcPr>
            <w:tcW w:w="1440" w:type="dxa"/>
            <w:tcBorders>
              <w:top w:val="single" w:sz="4" w:space="0" w:color="auto"/>
              <w:bottom w:val="double" w:sz="4" w:space="0" w:color="auto"/>
            </w:tcBorders>
          </w:tcPr>
          <w:p w14:paraId="39AEDD8D" w14:textId="3CC4D5F3" w:rsidR="00422CF7" w:rsidRPr="006626D6" w:rsidRDefault="00422CF7" w:rsidP="00422CF7">
            <w:pPr>
              <w:pStyle w:val="documento"/>
              <w:ind w:right="-108"/>
              <w:jc w:val="right"/>
              <w:rPr>
                <w:sz w:val="20"/>
                <w:szCs w:val="20"/>
              </w:rPr>
            </w:pPr>
            <w:r w:rsidRPr="006626D6">
              <w:rPr>
                <w:sz w:val="20"/>
                <w:szCs w:val="20"/>
              </w:rPr>
              <w:t>$208,900.73</w:t>
            </w:r>
          </w:p>
        </w:tc>
      </w:tr>
    </w:tbl>
    <w:p w14:paraId="65399968" w14:textId="77777777" w:rsidR="004A5822" w:rsidRDefault="004A5822" w:rsidP="00941FAA">
      <w:pPr>
        <w:pStyle w:val="documento"/>
      </w:pPr>
    </w:p>
    <w:p w14:paraId="167BFAF8" w14:textId="6C2EE25F" w:rsidR="00941FAA" w:rsidRDefault="00941FAA" w:rsidP="00941FAA">
      <w:pPr>
        <w:pStyle w:val="documento"/>
      </w:pPr>
      <w:r>
        <w:t xml:space="preserve">Los montos que modifican al patrimonio generado del ejercicio </w:t>
      </w:r>
      <w:r w:rsidR="005D7C3E">
        <w:t>por $</w:t>
      </w:r>
      <w:r w:rsidR="0054153F">
        <w:t>2,173,689.68</w:t>
      </w:r>
      <w:r w:rsidR="005D7C3E">
        <w:t xml:space="preserve">, </w:t>
      </w:r>
      <w:r>
        <w:t xml:space="preserve">corresponden a la depreciación y amortización del </w:t>
      </w:r>
      <w:r w:rsidR="00EF770E">
        <w:t xml:space="preserve">periodo </w:t>
      </w:r>
      <w:r>
        <w:t xml:space="preserve">por </w:t>
      </w:r>
      <w:r w:rsidR="005D7C3E">
        <w:t>$</w:t>
      </w:r>
      <w:r w:rsidR="0054153F">
        <w:t>1,948,627.87</w:t>
      </w:r>
      <w:r>
        <w:t xml:space="preserve"> y </w:t>
      </w:r>
      <w:r w:rsidR="005D7C3E">
        <w:t>$</w:t>
      </w:r>
      <w:r w:rsidR="0054153F">
        <w:t>225,061.81</w:t>
      </w:r>
      <w:r w:rsidR="005D7C3E">
        <w:t>,</w:t>
      </w:r>
      <w:r>
        <w:t xml:space="preserve"> respectivamente.</w:t>
      </w:r>
    </w:p>
    <w:p w14:paraId="61EA7A34" w14:textId="77777777" w:rsidR="00DF682A" w:rsidRDefault="00DF682A"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15A9E85E" w14:textId="77777777" w:rsidR="00B2580E" w:rsidRPr="00196151" w:rsidRDefault="00B2580E"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56D71E13" w:rsidR="00B2580E" w:rsidRPr="00272BD4" w:rsidRDefault="006D6FDB" w:rsidP="00006836">
            <w:pPr>
              <w:pStyle w:val="ENCTAB"/>
              <w:spacing w:after="0"/>
              <w:rPr>
                <w:sz w:val="14"/>
                <w:szCs w:val="14"/>
              </w:rPr>
            </w:pPr>
            <w:r>
              <w:rPr>
                <w:sz w:val="14"/>
                <w:szCs w:val="14"/>
              </w:rPr>
              <w:t>2017</w:t>
            </w:r>
          </w:p>
        </w:tc>
        <w:tc>
          <w:tcPr>
            <w:tcW w:w="1418" w:type="dxa"/>
            <w:shd w:val="clear" w:color="auto" w:fill="D2D3D5"/>
            <w:vAlign w:val="center"/>
          </w:tcPr>
          <w:p w14:paraId="2432DBE2" w14:textId="26A5FF13" w:rsidR="00B2580E" w:rsidRPr="00272BD4" w:rsidRDefault="00B2580E" w:rsidP="006A195E">
            <w:pPr>
              <w:pStyle w:val="ENCTAB"/>
              <w:spacing w:after="0"/>
              <w:rPr>
                <w:sz w:val="14"/>
                <w:szCs w:val="14"/>
              </w:rPr>
            </w:pPr>
            <w:r>
              <w:rPr>
                <w:sz w:val="14"/>
                <w:szCs w:val="14"/>
              </w:rPr>
              <w:t>201</w:t>
            </w:r>
            <w:r w:rsidR="006D6FDB">
              <w:rPr>
                <w:sz w:val="14"/>
                <w:szCs w:val="14"/>
              </w:rPr>
              <w:t>6</w:t>
            </w:r>
          </w:p>
        </w:tc>
      </w:tr>
      <w:tr w:rsidR="00B2580E" w:rsidRPr="0063233F" w14:paraId="7970FE1D" w14:textId="77777777" w:rsidTr="00006836">
        <w:tblPrEx>
          <w:tblBorders>
            <w:bottom w:val="double" w:sz="4" w:space="0" w:color="auto"/>
          </w:tblBorders>
          <w:shd w:val="clear" w:color="auto" w:fill="auto"/>
        </w:tblPrEx>
        <w:trPr>
          <w:trHeight w:val="280"/>
          <w:jc w:val="center"/>
        </w:trPr>
        <w:tc>
          <w:tcPr>
            <w:tcW w:w="5672" w:type="dxa"/>
            <w:vAlign w:val="center"/>
          </w:tcPr>
          <w:p w14:paraId="426CD136" w14:textId="77777777" w:rsidR="00B2580E" w:rsidRDefault="00B2580E" w:rsidP="00006836">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11D994D4" w:rsidR="00B2580E" w:rsidRPr="0063233F" w:rsidRDefault="009845F4" w:rsidP="009845F4">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7B39F4CB" w14:textId="63A67816"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4AFA793A" w14:textId="77777777" w:rsidTr="00006836">
        <w:tblPrEx>
          <w:tblBorders>
            <w:bottom w:val="double" w:sz="4" w:space="0" w:color="auto"/>
          </w:tblBorders>
          <w:shd w:val="clear" w:color="auto" w:fill="auto"/>
        </w:tblPrEx>
        <w:trPr>
          <w:trHeight w:val="280"/>
          <w:jc w:val="center"/>
        </w:trPr>
        <w:tc>
          <w:tcPr>
            <w:tcW w:w="5672" w:type="dxa"/>
            <w:vAlign w:val="center"/>
          </w:tcPr>
          <w:p w14:paraId="7ED18DCD" w14:textId="77777777" w:rsidR="00B2580E" w:rsidRDefault="00B2580E" w:rsidP="00006836">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0ECE0723" w:rsidR="00B2580E" w:rsidRPr="0063233F" w:rsidRDefault="00334FE0" w:rsidP="00006836">
            <w:pPr>
              <w:pStyle w:val="TEXTAB"/>
              <w:spacing w:after="0"/>
              <w:ind w:right="237"/>
              <w:jc w:val="right"/>
              <w:rPr>
                <w:sz w:val="12"/>
                <w:szCs w:val="12"/>
                <w:lang w:val="es-ES_tradnl"/>
              </w:rPr>
            </w:pPr>
            <w:r>
              <w:rPr>
                <w:sz w:val="12"/>
                <w:szCs w:val="12"/>
                <w:lang w:val="es-ES_tradnl"/>
              </w:rPr>
              <w:t>15,188,494.07</w:t>
            </w:r>
          </w:p>
        </w:tc>
        <w:tc>
          <w:tcPr>
            <w:tcW w:w="1418" w:type="dxa"/>
            <w:vAlign w:val="center"/>
          </w:tcPr>
          <w:p w14:paraId="70781CEC" w14:textId="565CBDAD" w:rsidR="00B2580E" w:rsidRPr="0063233F" w:rsidRDefault="00EF493B" w:rsidP="00006836">
            <w:pPr>
              <w:pStyle w:val="TEXTAB"/>
              <w:spacing w:after="0"/>
              <w:ind w:right="237"/>
              <w:jc w:val="right"/>
              <w:rPr>
                <w:sz w:val="12"/>
                <w:szCs w:val="12"/>
                <w:lang w:val="es-ES_tradnl"/>
              </w:rPr>
            </w:pPr>
            <w:r>
              <w:rPr>
                <w:sz w:val="12"/>
                <w:szCs w:val="12"/>
                <w:lang w:val="es-ES_tradnl"/>
              </w:rPr>
              <w:t>12,293,333.34</w:t>
            </w:r>
          </w:p>
        </w:tc>
      </w:tr>
      <w:tr w:rsidR="00B2580E" w:rsidRPr="0063233F" w14:paraId="1442E05A" w14:textId="77777777" w:rsidTr="00006836">
        <w:tblPrEx>
          <w:tblBorders>
            <w:bottom w:val="double" w:sz="4" w:space="0" w:color="auto"/>
          </w:tblBorders>
          <w:shd w:val="clear" w:color="auto" w:fill="auto"/>
        </w:tblPrEx>
        <w:trPr>
          <w:trHeight w:val="280"/>
          <w:jc w:val="center"/>
        </w:trPr>
        <w:tc>
          <w:tcPr>
            <w:tcW w:w="5672" w:type="dxa"/>
            <w:vAlign w:val="center"/>
          </w:tcPr>
          <w:p w14:paraId="06098AB4" w14:textId="77777777" w:rsidR="00B2580E" w:rsidRDefault="00B2580E" w:rsidP="00006836">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0459E193"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1FFCC97B"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4581D772" w14:textId="77777777" w:rsidTr="00006836">
        <w:tblPrEx>
          <w:tblBorders>
            <w:bottom w:val="double" w:sz="4" w:space="0" w:color="auto"/>
          </w:tblBorders>
          <w:shd w:val="clear" w:color="auto" w:fill="auto"/>
        </w:tblPrEx>
        <w:trPr>
          <w:trHeight w:val="280"/>
          <w:jc w:val="center"/>
        </w:trPr>
        <w:tc>
          <w:tcPr>
            <w:tcW w:w="5672" w:type="dxa"/>
            <w:vAlign w:val="center"/>
          </w:tcPr>
          <w:p w14:paraId="64A5A00E" w14:textId="77777777" w:rsidR="00B2580E" w:rsidRDefault="00B2580E" w:rsidP="00006836">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3FCA479B"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7DFDC8B6" w14:textId="77777777" w:rsidTr="00006836">
        <w:tblPrEx>
          <w:tblBorders>
            <w:bottom w:val="double" w:sz="4" w:space="0" w:color="auto"/>
          </w:tblBorders>
          <w:shd w:val="clear" w:color="auto" w:fill="auto"/>
        </w:tblPrEx>
        <w:trPr>
          <w:trHeight w:val="280"/>
          <w:jc w:val="center"/>
        </w:trPr>
        <w:tc>
          <w:tcPr>
            <w:tcW w:w="5672" w:type="dxa"/>
            <w:vAlign w:val="center"/>
          </w:tcPr>
          <w:p w14:paraId="213310D9" w14:textId="77777777" w:rsidR="00B2580E" w:rsidRDefault="00B2580E" w:rsidP="00006836">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0F6227BE" w:rsidR="00017652" w:rsidRPr="0063233F" w:rsidRDefault="00334FE0" w:rsidP="00017652">
            <w:pPr>
              <w:pStyle w:val="TEXTAB"/>
              <w:spacing w:after="0"/>
              <w:ind w:right="237"/>
              <w:jc w:val="right"/>
              <w:rPr>
                <w:sz w:val="12"/>
                <w:szCs w:val="12"/>
                <w:lang w:val="es-ES_tradnl"/>
              </w:rPr>
            </w:pPr>
            <w:r>
              <w:rPr>
                <w:sz w:val="12"/>
                <w:szCs w:val="12"/>
                <w:lang w:val="es-ES_tradnl"/>
              </w:rPr>
              <w:t>22,500.00</w:t>
            </w:r>
          </w:p>
        </w:tc>
        <w:tc>
          <w:tcPr>
            <w:tcW w:w="1418" w:type="dxa"/>
            <w:vAlign w:val="center"/>
          </w:tcPr>
          <w:p w14:paraId="692CFD49" w14:textId="4E29C991"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32A51D75" w14:textId="77777777" w:rsidTr="00006836">
        <w:trPr>
          <w:trHeight w:val="280"/>
          <w:jc w:val="center"/>
        </w:trPr>
        <w:tc>
          <w:tcPr>
            <w:tcW w:w="5672" w:type="dxa"/>
            <w:shd w:val="clear" w:color="auto" w:fill="D2D3D5"/>
            <w:vAlign w:val="center"/>
          </w:tcPr>
          <w:p w14:paraId="71792F05" w14:textId="77777777" w:rsidR="00B2580E" w:rsidRPr="00B14A80" w:rsidRDefault="00B2580E" w:rsidP="00006836">
            <w:pPr>
              <w:pStyle w:val="TEXTAB"/>
              <w:spacing w:after="0"/>
              <w:ind w:right="237"/>
              <w:jc w:val="center"/>
              <w:rPr>
                <w:b/>
                <w:sz w:val="12"/>
                <w:szCs w:val="12"/>
                <w:lang w:val="es-ES_tradnl"/>
              </w:rPr>
            </w:pPr>
            <w:r>
              <w:rPr>
                <w:b/>
                <w:sz w:val="12"/>
                <w:szCs w:val="12"/>
              </w:rPr>
              <w:t>TOTAL DE EFECTIVO Y EQUIVALENTE</w:t>
            </w:r>
          </w:p>
        </w:tc>
        <w:tc>
          <w:tcPr>
            <w:tcW w:w="1418" w:type="dxa"/>
            <w:shd w:val="clear" w:color="auto" w:fill="D2D3D5"/>
            <w:vAlign w:val="center"/>
          </w:tcPr>
          <w:p w14:paraId="510DC60E" w14:textId="6EF5B901" w:rsidR="00B2580E" w:rsidRPr="0063233F" w:rsidRDefault="00334FE0" w:rsidP="00037503">
            <w:pPr>
              <w:pStyle w:val="TEXTAB"/>
              <w:spacing w:after="0"/>
              <w:ind w:right="237"/>
              <w:jc w:val="right"/>
              <w:rPr>
                <w:sz w:val="12"/>
                <w:szCs w:val="12"/>
                <w:lang w:val="es-ES_tradnl"/>
              </w:rPr>
            </w:pPr>
            <w:r>
              <w:rPr>
                <w:sz w:val="12"/>
                <w:szCs w:val="12"/>
                <w:lang w:val="es-ES_tradnl"/>
              </w:rPr>
              <w:t>15,215,994.07</w:t>
            </w:r>
          </w:p>
        </w:tc>
        <w:tc>
          <w:tcPr>
            <w:tcW w:w="1418" w:type="dxa"/>
            <w:shd w:val="clear" w:color="auto" w:fill="D2D3D5"/>
            <w:vAlign w:val="center"/>
          </w:tcPr>
          <w:p w14:paraId="1873EF04" w14:textId="03340207" w:rsidR="00B2580E" w:rsidRPr="0063233F" w:rsidRDefault="00EF493B" w:rsidP="00006836">
            <w:pPr>
              <w:pStyle w:val="TEXTAB"/>
              <w:spacing w:after="0"/>
              <w:ind w:right="237"/>
              <w:jc w:val="right"/>
              <w:rPr>
                <w:sz w:val="12"/>
                <w:szCs w:val="12"/>
                <w:lang w:val="es-ES_tradnl"/>
              </w:rPr>
            </w:pPr>
            <w:r>
              <w:rPr>
                <w:sz w:val="12"/>
                <w:szCs w:val="12"/>
                <w:lang w:val="es-ES_tradnl"/>
              </w:rPr>
              <w:t>12,293,333.34</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15645B46" w14:textId="77777777" w:rsidR="009845F4" w:rsidRPr="003B2B12" w:rsidRDefault="009845F4"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77777777" w:rsidR="009845F4" w:rsidRPr="00272BD4" w:rsidRDefault="009845F4" w:rsidP="00295A5D">
            <w:pPr>
              <w:pStyle w:val="ENCTAB"/>
              <w:spacing w:after="0"/>
              <w:rPr>
                <w:sz w:val="14"/>
                <w:szCs w:val="14"/>
              </w:rPr>
            </w:pPr>
            <w:r>
              <w:rPr>
                <w:sz w:val="14"/>
                <w:szCs w:val="14"/>
              </w:rPr>
              <w:t>2017</w:t>
            </w:r>
          </w:p>
        </w:tc>
        <w:tc>
          <w:tcPr>
            <w:tcW w:w="1418" w:type="dxa"/>
            <w:shd w:val="clear" w:color="auto" w:fill="D2D3D5"/>
            <w:vAlign w:val="center"/>
          </w:tcPr>
          <w:p w14:paraId="5711AC90" w14:textId="77777777" w:rsidR="009845F4" w:rsidRPr="00272BD4" w:rsidRDefault="009845F4" w:rsidP="00295A5D">
            <w:pPr>
              <w:pStyle w:val="ENCTAB"/>
              <w:spacing w:after="0"/>
              <w:rPr>
                <w:sz w:val="14"/>
                <w:szCs w:val="14"/>
              </w:rPr>
            </w:pPr>
            <w:r>
              <w:rPr>
                <w:sz w:val="14"/>
                <w:szCs w:val="14"/>
              </w:rPr>
              <w:t>2016</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39E2F663" w:rsidR="009845F4" w:rsidRPr="0063233F" w:rsidRDefault="00334FE0" w:rsidP="00295A5D">
            <w:pPr>
              <w:pStyle w:val="TEXTAB"/>
              <w:spacing w:after="0"/>
              <w:ind w:right="237"/>
              <w:jc w:val="right"/>
              <w:rPr>
                <w:sz w:val="12"/>
                <w:szCs w:val="12"/>
                <w:lang w:val="es-ES_tradnl"/>
              </w:rPr>
            </w:pPr>
            <w:r>
              <w:rPr>
                <w:sz w:val="12"/>
                <w:szCs w:val="12"/>
                <w:lang w:val="es-ES_tradnl"/>
              </w:rPr>
              <w:t>141,786.58</w:t>
            </w:r>
          </w:p>
        </w:tc>
        <w:tc>
          <w:tcPr>
            <w:tcW w:w="1418" w:type="dxa"/>
            <w:vAlign w:val="center"/>
          </w:tcPr>
          <w:p w14:paraId="6A83A2C9" w14:textId="1C2537D8" w:rsidR="009845F4" w:rsidRPr="0063233F" w:rsidRDefault="00EF493B" w:rsidP="00295A5D">
            <w:pPr>
              <w:pStyle w:val="TEXTAB"/>
              <w:spacing w:after="0"/>
              <w:ind w:right="237"/>
              <w:jc w:val="right"/>
              <w:rPr>
                <w:sz w:val="12"/>
                <w:szCs w:val="12"/>
                <w:lang w:val="es-ES_tradnl"/>
              </w:rPr>
            </w:pPr>
            <w:r>
              <w:rPr>
                <w:sz w:val="12"/>
                <w:szCs w:val="12"/>
                <w:lang w:val="es-ES_tradnl"/>
              </w:rPr>
              <w:t>51,522.00</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2EFCA9FC"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D2971" w:rsidRPr="0063233F" w14:paraId="294277DD" w14:textId="77777777" w:rsidTr="000F244F">
        <w:trPr>
          <w:trHeight w:val="280"/>
          <w:jc w:val="center"/>
        </w:trPr>
        <w:tc>
          <w:tcPr>
            <w:tcW w:w="5672" w:type="dxa"/>
            <w:shd w:val="clear" w:color="auto" w:fill="D2D3D5"/>
            <w:vAlign w:val="center"/>
          </w:tcPr>
          <w:p w14:paraId="55F6C8BE" w14:textId="0CAACF4B" w:rsidR="005D2971" w:rsidRPr="00B14A80" w:rsidRDefault="005D2971" w:rsidP="000F244F">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7835A20A" w:rsidR="005D2971" w:rsidRPr="0063233F" w:rsidRDefault="00334FE0" w:rsidP="000F244F">
            <w:pPr>
              <w:pStyle w:val="TEXTAB"/>
              <w:spacing w:after="0"/>
              <w:ind w:right="237"/>
              <w:jc w:val="right"/>
              <w:rPr>
                <w:sz w:val="12"/>
                <w:szCs w:val="12"/>
                <w:lang w:val="es-ES_tradnl"/>
              </w:rPr>
            </w:pPr>
            <w:r>
              <w:rPr>
                <w:sz w:val="12"/>
                <w:szCs w:val="12"/>
                <w:lang w:val="es-ES_tradnl"/>
              </w:rPr>
              <w:t>141,786.58</w:t>
            </w:r>
          </w:p>
        </w:tc>
        <w:tc>
          <w:tcPr>
            <w:tcW w:w="1418" w:type="dxa"/>
            <w:shd w:val="clear" w:color="auto" w:fill="D2D3D5"/>
            <w:vAlign w:val="center"/>
          </w:tcPr>
          <w:p w14:paraId="03F00027" w14:textId="4BC059D9" w:rsidR="005D2971" w:rsidRPr="0063233F" w:rsidRDefault="00EF493B" w:rsidP="000F244F">
            <w:pPr>
              <w:pStyle w:val="TEXTAB"/>
              <w:spacing w:after="0"/>
              <w:ind w:right="237"/>
              <w:jc w:val="right"/>
              <w:rPr>
                <w:sz w:val="12"/>
                <w:szCs w:val="12"/>
                <w:lang w:val="es-ES_tradnl"/>
              </w:rPr>
            </w:pPr>
            <w:r>
              <w:rPr>
                <w:sz w:val="12"/>
                <w:szCs w:val="12"/>
                <w:lang w:val="es-ES_tradnl"/>
              </w:rPr>
              <w:t>51,522.00</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4D2047E3" w14:textId="77777777" w:rsidR="009845F4" w:rsidRPr="00196151" w:rsidRDefault="009845F4" w:rsidP="00B2580E">
      <w:pPr>
        <w:pStyle w:val="Texto"/>
        <w:spacing w:after="0" w:line="240" w:lineRule="exact"/>
        <w:ind w:firstLine="0"/>
        <w:rPr>
          <w:rFonts w:ascii="Gotham Rounded Book" w:hAnsi="Gotham Rounded Book"/>
          <w:sz w:val="22"/>
          <w:szCs w:val="22"/>
        </w:rPr>
      </w:pPr>
    </w:p>
    <w:p w14:paraId="1A4C58EF" w14:textId="71DD365B" w:rsidR="00422DE3" w:rsidRDefault="00862CF0" w:rsidP="00B2580E">
      <w:pPr>
        <w:pStyle w:val="documento"/>
      </w:pPr>
      <w:r>
        <w:lastRenderedPageBreak/>
        <w:t xml:space="preserve">Las adquisiciones </w:t>
      </w:r>
      <w:r w:rsidR="004A5822">
        <w:t xml:space="preserve">de bienes muebles </w:t>
      </w:r>
      <w:r>
        <w:t xml:space="preserve">se realizaron con </w:t>
      </w:r>
      <w:r w:rsidR="009A6D67">
        <w:t xml:space="preserve">los </w:t>
      </w:r>
      <w:r>
        <w:t xml:space="preserve">recursos de las transferencias realizadas </w:t>
      </w:r>
      <w:r w:rsidR="009A6D67">
        <w:t xml:space="preserve">por </w:t>
      </w:r>
      <w:r w:rsidR="0092176A">
        <w:t>la Secretaría de Finanzas d</w:t>
      </w:r>
      <w:r w:rsidR="009A6D67">
        <w:t xml:space="preserve">el </w:t>
      </w:r>
      <w:r>
        <w:t xml:space="preserve">Gobierno de la Ciudad de México </w:t>
      </w:r>
      <w:r w:rsidR="006D6FDB">
        <w:t>al InfoDF.</w:t>
      </w:r>
    </w:p>
    <w:p w14:paraId="0C960226" w14:textId="77777777" w:rsidR="006D6FDB" w:rsidRDefault="006D6FDB" w:rsidP="00B2580E">
      <w:pPr>
        <w:pStyle w:val="documento"/>
      </w:pPr>
    </w:p>
    <w:p w14:paraId="3080C1EA" w14:textId="77777777" w:rsidR="006D6FDB" w:rsidRDefault="006D6FDB" w:rsidP="007D292C">
      <w:pPr>
        <w:pStyle w:val="documento"/>
        <w:numPr>
          <w:ilvl w:val="0"/>
          <w:numId w:val="11"/>
        </w:numPr>
        <w:tabs>
          <w:tab w:val="left" w:pos="6521"/>
        </w:tabs>
      </w:pPr>
      <w:r>
        <w:t xml:space="preserve">Mobiliario y Equipo de Administración </w:t>
      </w:r>
      <w:r>
        <w:tab/>
        <w:t xml:space="preserve">  12,860.73  pesos</w:t>
      </w:r>
    </w:p>
    <w:p w14:paraId="569BEA53" w14:textId="77777777" w:rsidR="006D6FDB" w:rsidRDefault="006D6FDB" w:rsidP="007D292C">
      <w:pPr>
        <w:pStyle w:val="documento"/>
        <w:numPr>
          <w:ilvl w:val="0"/>
          <w:numId w:val="11"/>
        </w:numPr>
        <w:tabs>
          <w:tab w:val="left" w:pos="6521"/>
        </w:tabs>
      </w:pPr>
      <w:r>
        <w:t xml:space="preserve">Intangibles. </w:t>
      </w:r>
      <w:r>
        <w:tab/>
        <w:t>196,040.00  pesos</w:t>
      </w:r>
    </w:p>
    <w:p w14:paraId="36795476" w14:textId="77777777" w:rsidR="006D6FDB" w:rsidRDefault="006D6FDB" w:rsidP="006D6FDB">
      <w:pPr>
        <w:pStyle w:val="documento"/>
        <w:ind w:left="2552"/>
      </w:pPr>
      <w:r>
        <w:t>Total</w:t>
      </w:r>
      <w:r>
        <w:tab/>
      </w:r>
      <w:r>
        <w:tab/>
      </w:r>
      <w:r>
        <w:tab/>
      </w:r>
      <w:r>
        <w:tab/>
      </w:r>
      <w:r>
        <w:tab/>
        <w:t xml:space="preserve">   208,900.73  pesos</w:t>
      </w:r>
    </w:p>
    <w:p w14:paraId="70FCC8AE" w14:textId="77777777" w:rsidR="006E486A" w:rsidRDefault="006E486A" w:rsidP="00B2580E">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18E90242" w:rsidR="00B2580E" w:rsidRPr="00272BD4" w:rsidRDefault="00EB4C6B" w:rsidP="00006836">
            <w:pPr>
              <w:pStyle w:val="ENCTAB"/>
              <w:spacing w:after="0"/>
              <w:rPr>
                <w:sz w:val="14"/>
                <w:szCs w:val="14"/>
              </w:rPr>
            </w:pPr>
            <w:r>
              <w:rPr>
                <w:sz w:val="14"/>
                <w:szCs w:val="14"/>
              </w:rPr>
              <w:t>2017</w:t>
            </w:r>
          </w:p>
        </w:tc>
        <w:tc>
          <w:tcPr>
            <w:tcW w:w="1418" w:type="dxa"/>
            <w:shd w:val="clear" w:color="auto" w:fill="D2D3D5"/>
            <w:vAlign w:val="center"/>
          </w:tcPr>
          <w:p w14:paraId="2CF7B810" w14:textId="098FC349" w:rsidR="00B2580E" w:rsidRPr="00272BD4" w:rsidRDefault="00EB4C6B" w:rsidP="00006836">
            <w:pPr>
              <w:pStyle w:val="ENCTAB"/>
              <w:spacing w:after="0"/>
              <w:rPr>
                <w:sz w:val="14"/>
                <w:szCs w:val="14"/>
              </w:rPr>
            </w:pPr>
            <w:r>
              <w:rPr>
                <w:sz w:val="14"/>
                <w:szCs w:val="14"/>
              </w:rPr>
              <w:t>2016</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B2580E" w:rsidRPr="0063233F" w14:paraId="78D8360D" w14:textId="77777777" w:rsidTr="00006836">
        <w:trPr>
          <w:trHeight w:val="280"/>
          <w:jc w:val="center"/>
        </w:trPr>
        <w:tc>
          <w:tcPr>
            <w:tcW w:w="5672" w:type="dxa"/>
            <w:vAlign w:val="center"/>
          </w:tcPr>
          <w:p w14:paraId="1A88B1B3" w14:textId="77777777" w:rsidR="00B2580E" w:rsidRPr="0063233F" w:rsidRDefault="00B2580E" w:rsidP="009E56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0D499933" w:rsidR="00B2580E" w:rsidRPr="0063233F" w:rsidRDefault="003E776F" w:rsidP="00006836">
            <w:pPr>
              <w:pStyle w:val="TEXTAB"/>
              <w:spacing w:after="0"/>
              <w:ind w:right="237"/>
              <w:jc w:val="right"/>
              <w:rPr>
                <w:sz w:val="12"/>
                <w:szCs w:val="12"/>
                <w:lang w:val="es-ES_tradnl"/>
              </w:rPr>
            </w:pPr>
            <w:r>
              <w:rPr>
                <w:sz w:val="12"/>
                <w:szCs w:val="12"/>
                <w:lang w:val="es-ES_tradnl"/>
              </w:rPr>
              <w:t>1,948,627,.87</w:t>
            </w:r>
          </w:p>
        </w:tc>
        <w:tc>
          <w:tcPr>
            <w:tcW w:w="1418" w:type="dxa"/>
            <w:vAlign w:val="center"/>
          </w:tcPr>
          <w:p w14:paraId="26D29CDB" w14:textId="0AD9308C" w:rsidR="00B2580E" w:rsidRPr="0063233F" w:rsidRDefault="003E776F" w:rsidP="009F13D7">
            <w:pPr>
              <w:pStyle w:val="TEXTAB"/>
              <w:spacing w:after="0"/>
              <w:ind w:right="237"/>
              <w:jc w:val="right"/>
              <w:rPr>
                <w:sz w:val="12"/>
                <w:szCs w:val="12"/>
                <w:lang w:val="es-ES_tradnl"/>
              </w:rPr>
            </w:pPr>
            <w:r>
              <w:rPr>
                <w:sz w:val="12"/>
                <w:szCs w:val="12"/>
                <w:lang w:val="es-ES_tradnl"/>
              </w:rPr>
              <w:t>2,595,964.30</w:t>
            </w:r>
          </w:p>
        </w:tc>
      </w:tr>
      <w:tr w:rsidR="00B2580E" w:rsidRPr="0063233F" w14:paraId="6C8DBDA8" w14:textId="77777777" w:rsidTr="00006836">
        <w:trPr>
          <w:trHeight w:val="280"/>
          <w:jc w:val="center"/>
        </w:trPr>
        <w:tc>
          <w:tcPr>
            <w:tcW w:w="5672" w:type="dxa"/>
            <w:vAlign w:val="center"/>
          </w:tcPr>
          <w:p w14:paraId="199E8F47"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64EE1220" w:rsidR="00B2580E" w:rsidRPr="0063233F" w:rsidRDefault="003E776F" w:rsidP="00006836">
            <w:pPr>
              <w:pStyle w:val="TEXTAB"/>
              <w:spacing w:after="0"/>
              <w:ind w:right="237"/>
              <w:jc w:val="right"/>
              <w:rPr>
                <w:sz w:val="12"/>
                <w:szCs w:val="12"/>
                <w:lang w:val="es-ES_tradnl"/>
              </w:rPr>
            </w:pPr>
            <w:r>
              <w:rPr>
                <w:sz w:val="12"/>
                <w:szCs w:val="12"/>
                <w:lang w:val="es-ES_tradnl"/>
              </w:rPr>
              <w:t>225,061.81</w:t>
            </w:r>
          </w:p>
        </w:tc>
        <w:tc>
          <w:tcPr>
            <w:tcW w:w="1418" w:type="dxa"/>
            <w:vAlign w:val="center"/>
          </w:tcPr>
          <w:p w14:paraId="4C1C163B" w14:textId="253A22BB" w:rsidR="00B2580E" w:rsidRPr="0063233F" w:rsidRDefault="003E776F" w:rsidP="00006836">
            <w:pPr>
              <w:pStyle w:val="TEXTAB"/>
              <w:spacing w:after="0"/>
              <w:ind w:right="237"/>
              <w:jc w:val="right"/>
              <w:rPr>
                <w:sz w:val="12"/>
                <w:szCs w:val="12"/>
                <w:lang w:val="es-ES_tradnl"/>
              </w:rPr>
            </w:pPr>
            <w:r>
              <w:rPr>
                <w:sz w:val="12"/>
                <w:szCs w:val="12"/>
                <w:lang w:val="es-ES_tradnl"/>
              </w:rPr>
              <w:t>129,799.90</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7C32B17D" w14:textId="77777777" w:rsidR="00774EE9" w:rsidRDefault="00774EE9" w:rsidP="00B2580E">
      <w:pPr>
        <w:pStyle w:val="documento"/>
        <w:rPr>
          <w:b/>
          <w:smallCaps/>
        </w:rPr>
      </w:pPr>
    </w:p>
    <w:p w14:paraId="1484DF00" w14:textId="444ECDAA" w:rsidR="00B2580E" w:rsidRPr="00196151" w:rsidRDefault="00B2580E" w:rsidP="00B2580E">
      <w:pPr>
        <w:pStyle w:val="documento"/>
        <w:rPr>
          <w:b/>
          <w:smallCaps/>
        </w:rPr>
      </w:pPr>
      <w:r w:rsidRPr="00196151">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77777777" w:rsidR="00B2580E" w:rsidRPr="00196151"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5C28B60C" w14:textId="77777777" w:rsidR="00B2580E" w:rsidRPr="00B96967" w:rsidRDefault="00B2580E" w:rsidP="00B2580E">
      <w:pPr>
        <w:pStyle w:val="documento"/>
        <w:rPr>
          <w:szCs w:val="18"/>
        </w:rPr>
      </w:pPr>
    </w:p>
    <w:p w14:paraId="20DCD4C3" w14:textId="78000E7C" w:rsidR="00B2580E" w:rsidRDefault="00413028" w:rsidP="00B2580E">
      <w:r>
        <w:br w:type="textWrapping" w:clear="all"/>
      </w:r>
    </w:p>
    <w:p w14:paraId="52DAED9E" w14:textId="77777777" w:rsidR="00B2580E" w:rsidRDefault="00B2580E" w:rsidP="00B2580E"/>
    <w:p w14:paraId="33DAA9C1" w14:textId="77777777" w:rsidR="00B2580E" w:rsidRDefault="00B2580E" w:rsidP="00B2580E"/>
    <w:p w14:paraId="683AEDE1" w14:textId="2203508F" w:rsidR="00B2580E" w:rsidRDefault="006F772F" w:rsidP="00B2580E">
      <w:r>
        <w:rPr>
          <w:noProof/>
        </w:rPr>
        <w:lastRenderedPageBreak/>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3pt;margin-top:23.5pt;width:550.65pt;height:393.65pt;z-index:251659264;mso-position-horizontal-relative:text;mso-position-vertical-relative:text">
            <v:imagedata r:id="rId8" o:title=""/>
            <w10:wrap type="square" side="right"/>
          </v:shape>
          <o:OLEObject Type="Embed" ProgID="Excel.Sheet.12" ShapeID="_x0000_s1028" DrawAspect="Content" ObjectID="_1570016127" r:id="rId9"/>
        </w:object>
      </w:r>
      <w:r w:rsidR="00B2580E">
        <w:br w:type="page"/>
      </w:r>
    </w:p>
    <w:bookmarkStart w:id="2" w:name="_MON_1545548817"/>
    <w:bookmarkEnd w:id="2"/>
    <w:p w14:paraId="37C4CE8B" w14:textId="2738DC72" w:rsidR="00B2580E" w:rsidRDefault="00A634F8" w:rsidP="00B2580E">
      <w:r>
        <w:object w:dxaOrig="9858" w:dyaOrig="4163" w14:anchorId="16F34F5E">
          <v:shape id="_x0000_i1025" type="#_x0000_t75" style="width:448.65pt;height:189.65pt" o:ole="">
            <v:imagedata r:id="rId10" o:title=""/>
          </v:shape>
          <o:OLEObject Type="Embed" ProgID="Excel.Sheet.12" ShapeID="_x0000_i1025" DrawAspect="Content" ObjectID="_1570016126" r:id="rId11"/>
        </w:object>
      </w:r>
    </w:p>
    <w:p w14:paraId="05CEADD7" w14:textId="77777777" w:rsidR="00247DAA" w:rsidRPr="00247DAA" w:rsidRDefault="00247DAA" w:rsidP="00C55955">
      <w:pPr>
        <w:pStyle w:val="documento"/>
        <w:jc w:val="right"/>
      </w:pPr>
    </w:p>
    <w:p w14:paraId="3DA04A99" w14:textId="37F77F71" w:rsidR="00B2580E" w:rsidRPr="003B2B12" w:rsidRDefault="00B2580E" w:rsidP="005F146E">
      <w:pPr>
        <w:pStyle w:val="documento"/>
        <w:tabs>
          <w:tab w:val="left" w:pos="567"/>
        </w:tabs>
        <w:jc w:val="center"/>
        <w:rPr>
          <w:b/>
        </w:rPr>
      </w:pPr>
      <w:r w:rsidRPr="003B2B12">
        <w:rPr>
          <w:b/>
        </w:rPr>
        <w:t xml:space="preserve">b) </w:t>
      </w:r>
      <w:r w:rsidR="00254975">
        <w:rPr>
          <w:b/>
        </w:rPr>
        <w:tab/>
      </w:r>
      <w:r w:rsidRPr="003B2B12">
        <w:rPr>
          <w:b/>
        </w:rPr>
        <w:t>NOTAS DE MEMORIA (CUENTAS DE ORDEN)</w:t>
      </w:r>
    </w:p>
    <w:p w14:paraId="495A91D2" w14:textId="77777777" w:rsidR="00B2580E" w:rsidRPr="00196151" w:rsidRDefault="00B2580E" w:rsidP="00B2580E">
      <w:pPr>
        <w:pStyle w:val="documento"/>
      </w:pPr>
    </w:p>
    <w:p w14:paraId="3298EEA5" w14:textId="77777777"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5E48384A" w14:textId="56C99C15" w:rsidR="00E35751"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Demandas judiciales en proceso de resolución por 11,169,130 pesos, representa el monto por litigios judiciales que pueden derivar una obligación de pago de conformidad con  el oficio núm. INFODF/DJDN/SSL/004/2017 del 7 de febrero de 2017 emitido por la Dirección Jurídica y Desarrollo Normativo del InfoDF.</w:t>
      </w:r>
    </w:p>
    <w:p w14:paraId="3C04D753" w14:textId="77777777" w:rsidR="00E35751" w:rsidRDefault="00E35751" w:rsidP="00E35751">
      <w:pPr>
        <w:pStyle w:val="Texto"/>
        <w:spacing w:after="0" w:line="276" w:lineRule="auto"/>
        <w:ind w:left="567" w:firstLine="0"/>
        <w:rPr>
          <w:rFonts w:ascii="Gotham Rounded Book" w:hAnsi="Gotham Rounded Book"/>
          <w:sz w:val="22"/>
          <w:szCs w:val="22"/>
        </w:rPr>
      </w:pPr>
    </w:p>
    <w:p w14:paraId="1764473F" w14:textId="5B09D94A" w:rsidR="00E35751"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Resoluciones de demandas en procesos judiciales por 11,169,130 pesos, representa el monto por litigios judiciales que pueden derivar una obligación de pago de conformidad con  el oficio núm. INFODF/DJDN/SSL/004/2017 del 7 de febrero de 2017 emitido por la Dirección Jurídica y Desarrollo Normativo del InfoDF.</w:t>
      </w:r>
    </w:p>
    <w:p w14:paraId="54AB1BBE" w14:textId="77777777" w:rsidR="00CE424B" w:rsidRDefault="00CE424B" w:rsidP="00E35751">
      <w:pPr>
        <w:pStyle w:val="Texto"/>
        <w:spacing w:after="0" w:line="240" w:lineRule="exact"/>
        <w:ind w:left="0" w:firstLine="0"/>
        <w:rPr>
          <w:rFonts w:ascii="Gotham Rounded Book" w:hAnsi="Gotham Rounded Book"/>
          <w:sz w:val="22"/>
          <w:szCs w:val="22"/>
        </w:rPr>
      </w:pPr>
    </w:p>
    <w:p w14:paraId="28C97CD9" w14:textId="77777777" w:rsidR="000F244F" w:rsidRDefault="000F244F" w:rsidP="00E35751">
      <w:pPr>
        <w:pStyle w:val="Texto"/>
        <w:spacing w:after="0" w:line="240" w:lineRule="exact"/>
        <w:ind w:left="0" w:firstLine="0"/>
        <w:rPr>
          <w:rFonts w:ascii="Gotham Rounded Book" w:hAnsi="Gotham Rounded Book"/>
          <w:sz w:val="22"/>
          <w:szCs w:val="22"/>
        </w:rPr>
      </w:pPr>
    </w:p>
    <w:p w14:paraId="4384E3FD" w14:textId="77777777" w:rsidR="00A634F8" w:rsidRDefault="00A634F8" w:rsidP="00E35751">
      <w:pPr>
        <w:pStyle w:val="Texto"/>
        <w:spacing w:after="0" w:line="240" w:lineRule="exact"/>
        <w:ind w:left="0" w:firstLine="0"/>
        <w:rPr>
          <w:rFonts w:ascii="Gotham Rounded Book" w:hAnsi="Gotham Rounded Book"/>
          <w:sz w:val="22"/>
          <w:szCs w:val="22"/>
        </w:rPr>
      </w:pPr>
    </w:p>
    <w:p w14:paraId="5C2B41A4" w14:textId="77777777" w:rsidR="00A634F8" w:rsidRDefault="00A634F8" w:rsidP="00E35751">
      <w:pPr>
        <w:pStyle w:val="Texto"/>
        <w:spacing w:after="0" w:line="240" w:lineRule="exact"/>
        <w:ind w:left="0" w:firstLine="0"/>
        <w:rPr>
          <w:rFonts w:ascii="Gotham Rounded Book" w:hAnsi="Gotham Rounded Book"/>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lastRenderedPageBreak/>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AE19762" w14:textId="25E850AB" w:rsidR="008F5CBB"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0140A1">
        <w:rPr>
          <w:rFonts w:ascii="Gotham Rounded Book" w:hAnsi="Gotham Rounded Book"/>
          <w:sz w:val="22"/>
          <w:szCs w:val="22"/>
        </w:rPr>
        <w:t>137,931,115.00</w:t>
      </w:r>
      <w:r w:rsidR="001064BE">
        <w:rPr>
          <w:rFonts w:ascii="Gotham Rounded Book" w:hAnsi="Gotham Rounded Book"/>
          <w:sz w:val="22"/>
          <w:szCs w:val="22"/>
        </w:rPr>
        <w:t xml:space="preserve"> correspondiente al presupuesto </w:t>
      </w:r>
      <w:r>
        <w:rPr>
          <w:rFonts w:ascii="Gotham Rounded Book" w:hAnsi="Gotham Rounded Book"/>
          <w:sz w:val="22"/>
          <w:szCs w:val="22"/>
        </w:rPr>
        <w:t xml:space="preserve">autorizado por la Asamblea Legislativa del Distrito Federal mediante el </w:t>
      </w:r>
      <w:r w:rsidR="000140A1" w:rsidRPr="000140A1">
        <w:rPr>
          <w:rFonts w:ascii="Gotham Rounded Book" w:hAnsi="Gotham Rounded Book"/>
          <w:sz w:val="22"/>
          <w:szCs w:val="22"/>
        </w:rPr>
        <w:t>DECRETO DE PRESUPUESTO DE EGRESOS DE LA CIUDAD DE MÉXIC</w:t>
      </w:r>
      <w:r w:rsidR="000140A1">
        <w:rPr>
          <w:rFonts w:ascii="Gotham Rounded Book" w:hAnsi="Gotham Rounded Book"/>
          <w:sz w:val="22"/>
          <w:szCs w:val="22"/>
        </w:rPr>
        <w:t xml:space="preserve">O PARA EL EJERCICIO FISCAL 2017, </w:t>
      </w:r>
      <w:r w:rsidR="009367AD">
        <w:rPr>
          <w:rFonts w:ascii="Gotham Rounded Book" w:hAnsi="Gotham Rounded Book"/>
          <w:sz w:val="22"/>
          <w:szCs w:val="22"/>
        </w:rPr>
        <w:t>por concepto de la 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p>
    <w:p w14:paraId="7AEEF8DE"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6AFB4A4E" w14:textId="21E49602"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 la Ley de Ingresos Estimada.</w:t>
      </w:r>
      <w:r w:rsidR="00FB7D4B" w:rsidRPr="00FB7D4B">
        <w:rPr>
          <w:rFonts w:ascii="Gotham Rounded Book" w:hAnsi="Gotham Rounded Book"/>
          <w:sz w:val="22"/>
          <w:szCs w:val="22"/>
        </w:rPr>
        <w:t xml:space="preserve"> </w:t>
      </w:r>
      <w:r w:rsidR="009463F8">
        <w:rPr>
          <w:rFonts w:ascii="Gotham Rounded Book" w:hAnsi="Gotham Rounded Book"/>
          <w:sz w:val="22"/>
          <w:szCs w:val="22"/>
        </w:rPr>
        <w:t>Se registrar</w:t>
      </w:r>
      <w:r w:rsidR="00266E3C">
        <w:rPr>
          <w:rFonts w:ascii="Gotham Rounded Book" w:hAnsi="Gotham Rounded Book"/>
          <w:sz w:val="22"/>
          <w:szCs w:val="22"/>
        </w:rPr>
        <w:t xml:space="preserve">a </w:t>
      </w:r>
      <w:r w:rsidR="009463F8">
        <w:rPr>
          <w:rFonts w:ascii="Gotham Rounded Book" w:hAnsi="Gotham Rounded Book"/>
          <w:sz w:val="22"/>
          <w:szCs w:val="22"/>
        </w:rPr>
        <w:t xml:space="preserve">la </w:t>
      </w:r>
      <w:r w:rsidR="00FB7D4B">
        <w:rPr>
          <w:rFonts w:ascii="Gotham Rounded Book" w:hAnsi="Gotham Rounded Book"/>
          <w:sz w:val="22"/>
          <w:szCs w:val="22"/>
        </w:rPr>
        <w:t>modificaci</w:t>
      </w:r>
      <w:r w:rsidR="009463F8">
        <w:rPr>
          <w:rFonts w:ascii="Gotham Rounded Book" w:hAnsi="Gotham Rounded Book"/>
          <w:sz w:val="22"/>
          <w:szCs w:val="22"/>
        </w:rPr>
        <w:t xml:space="preserve">ón </w:t>
      </w:r>
      <w:r w:rsidR="00FB7D4B">
        <w:rPr>
          <w:rFonts w:ascii="Gotham Rounded Book" w:hAnsi="Gotham Rounded Book"/>
          <w:sz w:val="22"/>
          <w:szCs w:val="22"/>
        </w:rPr>
        <w:t>a las asignaciones presupuestales realizadas por la Secretaría de Finanzas del Gobierno de la Ciudad de México.</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595B9461"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epresenta el cobro efectivo de la ministración recibida por parte de la Secretaría de 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135A89D6"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epresenta el cobro efectivo de la ministración recibida por parte de la Secretaría de 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6FA4070B"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2017</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266E3C">
        <w:rPr>
          <w:rFonts w:ascii="Gotham Rounded Book" w:hAnsi="Gotham Rounded Book"/>
          <w:sz w:val="22"/>
          <w:szCs w:val="22"/>
        </w:rPr>
        <w:t>137,931,115.00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334ABC32" w14:textId="4737AFCC" w:rsidR="005F0CC9" w:rsidRDefault="009F5046"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w:t>
      </w:r>
      <w:r w:rsidR="00E41817">
        <w:rPr>
          <w:rFonts w:ascii="Gotham Rounded Book" w:hAnsi="Gotham Rounded Book"/>
          <w:sz w:val="22"/>
          <w:szCs w:val="22"/>
        </w:rPr>
        <w:t xml:space="preserve"> </w:t>
      </w:r>
      <w:r w:rsidR="005F0CC9" w:rsidRPr="005F0CC9">
        <w:rPr>
          <w:rFonts w:ascii="Gotham Rounded Book" w:hAnsi="Gotham Rounded Book"/>
          <w:sz w:val="22"/>
          <w:szCs w:val="22"/>
        </w:rPr>
        <w:t xml:space="preserve">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4305B737"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08FBEC28" w14:textId="77777777" w:rsidR="001958EE" w:rsidRDefault="001958EE" w:rsidP="001958EE">
      <w:pPr>
        <w:pStyle w:val="Prrafodelista"/>
        <w:ind w:left="567" w:hanging="567"/>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753C6F0B" w14:textId="77777777" w:rsidR="006669CF" w:rsidRDefault="006669CF"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4091A531" w14:textId="77777777" w:rsidR="00C050E3" w:rsidRDefault="00C050E3" w:rsidP="00254975">
      <w:pPr>
        <w:pStyle w:val="documento"/>
        <w:tabs>
          <w:tab w:val="left" w:pos="567"/>
        </w:tabs>
        <w:rPr>
          <w:b/>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5603652C" w14:textId="33D0FB77" w:rsidR="00913086" w:rsidRDefault="00913086" w:rsidP="00913086">
      <w:pPr>
        <w:pStyle w:val="documento"/>
      </w:pPr>
      <w:r>
        <w:t>El Instituto es un órgano autónomo del Gobierno de</w:t>
      </w:r>
      <w:r w:rsidR="008104B9">
        <w:t xml:space="preserve"> la</w:t>
      </w:r>
      <w:r>
        <w:t xml:space="preserve"> Ciudad de México, con personalidad jurídica y patrimonio propio, con autonomía presupuestaria, de operación y de decisión en materia de transparencia y acceso a la información pública. Las principales atribuciones del Instituto son: emitir opiniones y recomendaciones sobre temas relacionados con la Ley de Transparencia y Acceso a la Información Pública del Distrito Federal; realizar investigaciones en materia de acceso a la información y sus derechos relacionados; establecer políticas y lineamientos en materia de acceso a la información y catalogación de todo tipo de datos, registro y archivos, entre otras.</w:t>
      </w:r>
    </w:p>
    <w:p w14:paraId="5B4D1B7B" w14:textId="77777777" w:rsidR="00913086" w:rsidRDefault="00913086"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6CC7562D" w14:textId="77777777" w:rsidR="00E749D1" w:rsidRDefault="00E749D1" w:rsidP="00913086">
      <w:pPr>
        <w:pStyle w:val="documento"/>
      </w:pPr>
    </w:p>
    <w:p w14:paraId="5B4E4F4B" w14:textId="0DAE53F8" w:rsidR="00403B7A" w:rsidRDefault="00403B7A" w:rsidP="00403B7A">
      <w:pPr>
        <w:pStyle w:val="documento"/>
      </w:pPr>
      <w:r>
        <w:t>El Instituto no es contribuyente del Impuesto Sobre la Renta (ISR), de conformidad con los artículos 93 y 102 de la Ley del ISR.</w:t>
      </w:r>
      <w:r w:rsidR="00E749D1">
        <w:t xml:space="preserve"> E</w:t>
      </w:r>
      <w:r>
        <w:t xml:space="preserve">l Instituto únicamente se encuentra obligado a efectuar las retenciones de impuesto que se originan por concepto de las remuneraciones pagadas por </w:t>
      </w:r>
      <w:r>
        <w:lastRenderedPageBreak/>
        <w:t>sueldos y salarios a sus trabajadores; asimismo, a efectuar la retención sobre honorarios asimilables a salarios y arrendamientos a personas físicas 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3630F92D" w14:textId="77777777" w:rsidR="00403B7A" w:rsidRDefault="00403B7A" w:rsidP="00B2580E">
      <w:pPr>
        <w:pStyle w:val="documento"/>
      </w:pPr>
    </w:p>
    <w:p w14:paraId="1743AAA7" w14:textId="265D5081" w:rsidR="00B2580E" w:rsidRPr="00D40EAD" w:rsidRDefault="00B2580E" w:rsidP="00254975">
      <w:pPr>
        <w:pStyle w:val="documento"/>
        <w:tabs>
          <w:tab w:val="left" w:pos="567"/>
        </w:tabs>
        <w:rPr>
          <w:b/>
        </w:rPr>
      </w:pPr>
      <w:r w:rsidRPr="00D40EAD">
        <w:rPr>
          <w:b/>
        </w:rPr>
        <w:t>Estructura organizacional básica</w:t>
      </w:r>
    </w:p>
    <w:p w14:paraId="4AB5BC29" w14:textId="77777777" w:rsidR="00621A0E" w:rsidRPr="00D40EAD" w:rsidRDefault="00621A0E" w:rsidP="00621A0E">
      <w:pPr>
        <w:pStyle w:val="documento"/>
        <w:rPr>
          <w:b/>
        </w:rPr>
      </w:pPr>
    </w:p>
    <w:p w14:paraId="0EAFB1E8" w14:textId="3201A8D4" w:rsidR="00A3063D" w:rsidRPr="00A3063D" w:rsidRDefault="00A3063D" w:rsidP="00621A0E">
      <w:pPr>
        <w:pStyle w:val="documento"/>
      </w:pPr>
      <w:r w:rsidRPr="00D40EAD">
        <w:t xml:space="preserve">El Pleno del Instituto, mediante acuerdo </w:t>
      </w:r>
      <w:r w:rsidRPr="00D40EAD">
        <w:rPr>
          <w:b/>
        </w:rPr>
        <w:t>núm.</w:t>
      </w:r>
      <w:r w:rsidR="00296074" w:rsidRPr="00D40EAD">
        <w:rPr>
          <w:b/>
        </w:rPr>
        <w:t xml:space="preserve"> 0483/SO</w:t>
      </w:r>
      <w:r w:rsidR="00B666C1" w:rsidRPr="00D40EAD">
        <w:rPr>
          <w:b/>
        </w:rPr>
        <w:t>/</w:t>
      </w:r>
      <w:r w:rsidR="00296074" w:rsidRPr="00D40EAD">
        <w:rPr>
          <w:b/>
        </w:rPr>
        <w:t>06-04/2017</w:t>
      </w:r>
      <w:r w:rsidRPr="00D40EAD">
        <w:t>, aprobó con fecha 6 de abril</w:t>
      </w:r>
      <w:r w:rsidRPr="00A3063D">
        <w:t xml:space="preserve"> de 2017 el Reglamento Interior del Instituto de Acceso a la Información Pública y Protección de Datos Personales del Distrito Federal, quedando su estructura como sigue:</w:t>
      </w:r>
    </w:p>
    <w:p w14:paraId="09A80EE7" w14:textId="77777777" w:rsidR="00A3063D" w:rsidRPr="00621A0E" w:rsidRDefault="00A3063D" w:rsidP="006336AC">
      <w:pPr>
        <w:pStyle w:val="documento"/>
        <w:ind w:left="851" w:hanging="567"/>
        <w:rPr>
          <w:b/>
        </w:rPr>
      </w:pPr>
    </w:p>
    <w:p w14:paraId="390054A1" w14:textId="412887E1" w:rsidR="00621A0E" w:rsidRDefault="00621A0E" w:rsidP="007D292C">
      <w:pPr>
        <w:pStyle w:val="documento"/>
        <w:numPr>
          <w:ilvl w:val="0"/>
          <w:numId w:val="13"/>
        </w:numPr>
        <w:ind w:left="851" w:hanging="567"/>
      </w:pPr>
      <w:r>
        <w:t>P</w:t>
      </w:r>
      <w:r w:rsidR="00426D21">
        <w:t>leno</w:t>
      </w:r>
    </w:p>
    <w:p w14:paraId="1C41185A" w14:textId="3C46A600" w:rsidR="00621A0E" w:rsidRDefault="00621A0E" w:rsidP="007D292C">
      <w:pPr>
        <w:pStyle w:val="documento"/>
        <w:numPr>
          <w:ilvl w:val="0"/>
          <w:numId w:val="13"/>
        </w:numPr>
        <w:ind w:left="851" w:hanging="567"/>
      </w:pPr>
      <w:r>
        <w:t>Comisionado Presidente</w:t>
      </w:r>
    </w:p>
    <w:p w14:paraId="6600CBF7" w14:textId="2D64B128" w:rsidR="00621A0E" w:rsidRDefault="00621A0E" w:rsidP="007D292C">
      <w:pPr>
        <w:pStyle w:val="documento"/>
        <w:numPr>
          <w:ilvl w:val="0"/>
          <w:numId w:val="13"/>
        </w:numPr>
        <w:ind w:left="851" w:hanging="567"/>
      </w:pPr>
      <w:r>
        <w:t>Comisionados Ciudadanos</w:t>
      </w:r>
    </w:p>
    <w:p w14:paraId="2064C438" w14:textId="46A88038" w:rsidR="00621A0E" w:rsidRDefault="00621A0E" w:rsidP="007D292C">
      <w:pPr>
        <w:pStyle w:val="documento"/>
        <w:numPr>
          <w:ilvl w:val="0"/>
          <w:numId w:val="13"/>
        </w:numPr>
        <w:ind w:left="851" w:hanging="567"/>
      </w:pPr>
      <w:r>
        <w:t>Secretaría Técnica</w:t>
      </w:r>
    </w:p>
    <w:p w14:paraId="38275C9F" w14:textId="78EBACD5" w:rsidR="00621A0E" w:rsidRDefault="00621A0E" w:rsidP="007D292C">
      <w:pPr>
        <w:pStyle w:val="documento"/>
        <w:numPr>
          <w:ilvl w:val="0"/>
          <w:numId w:val="13"/>
        </w:numPr>
        <w:ind w:left="851" w:hanging="567"/>
      </w:pPr>
      <w:r>
        <w:t>Secretaría Ejecutiva</w:t>
      </w:r>
    </w:p>
    <w:p w14:paraId="08724DFD" w14:textId="77777777" w:rsidR="00426D21" w:rsidRDefault="00426D21" w:rsidP="007D292C">
      <w:pPr>
        <w:pStyle w:val="documento"/>
        <w:numPr>
          <w:ilvl w:val="0"/>
          <w:numId w:val="13"/>
        </w:numPr>
        <w:ind w:left="851" w:hanging="567"/>
      </w:pPr>
      <w:r>
        <w:t>Órgano Interno de Control</w:t>
      </w:r>
    </w:p>
    <w:p w14:paraId="35F89045" w14:textId="154B60AE" w:rsidR="00621A0E" w:rsidRPr="009D3CB0" w:rsidRDefault="00621A0E" w:rsidP="007D292C">
      <w:pPr>
        <w:pStyle w:val="documento"/>
        <w:numPr>
          <w:ilvl w:val="0"/>
          <w:numId w:val="13"/>
        </w:numPr>
        <w:ind w:left="851" w:hanging="567"/>
        <w:rPr>
          <w:b/>
        </w:rPr>
      </w:pPr>
      <w:r w:rsidRPr="009D3CB0">
        <w:rPr>
          <w:b/>
        </w:rPr>
        <w:t xml:space="preserve">Dirección </w:t>
      </w:r>
      <w:r w:rsidR="00574A14" w:rsidRPr="009D3CB0">
        <w:rPr>
          <w:b/>
        </w:rPr>
        <w:t>de Asuntos Jurídicos</w:t>
      </w:r>
    </w:p>
    <w:p w14:paraId="6C27DBA0" w14:textId="77777777" w:rsidR="00621A0E" w:rsidRDefault="00621A0E" w:rsidP="006336AC">
      <w:pPr>
        <w:pStyle w:val="documento"/>
        <w:ind w:left="851"/>
      </w:pPr>
      <w:r>
        <w:t>Dirección de Capacitación y Cultura de la Transparencia</w:t>
      </w:r>
    </w:p>
    <w:p w14:paraId="7BFFFD4F" w14:textId="5709AFB6" w:rsidR="00621A0E" w:rsidRPr="009D3CB0" w:rsidRDefault="00621A0E" w:rsidP="006336AC">
      <w:pPr>
        <w:pStyle w:val="documento"/>
        <w:ind w:left="851"/>
        <w:rPr>
          <w:b/>
        </w:rPr>
      </w:pPr>
      <w:r w:rsidRPr="009D3CB0">
        <w:rPr>
          <w:b/>
        </w:rPr>
        <w:t>Dirección de Evaluación</w:t>
      </w:r>
      <w:r w:rsidR="00D7155D" w:rsidRPr="009D3CB0">
        <w:rPr>
          <w:b/>
        </w:rPr>
        <w:t xml:space="preserve">, </w:t>
      </w:r>
      <w:r w:rsidRPr="009D3CB0">
        <w:rPr>
          <w:b/>
        </w:rPr>
        <w:t>Estudios</w:t>
      </w:r>
      <w:r w:rsidR="00D7155D" w:rsidRPr="009D3CB0">
        <w:rPr>
          <w:b/>
        </w:rPr>
        <w:t xml:space="preserve"> y Gobierno Abierto</w:t>
      </w:r>
    </w:p>
    <w:p w14:paraId="0F699B65" w14:textId="77777777" w:rsidR="006336AC" w:rsidRDefault="006336AC" w:rsidP="006336AC">
      <w:pPr>
        <w:pStyle w:val="documento"/>
        <w:ind w:left="851"/>
      </w:pPr>
      <w:r>
        <w:t>Dirección de Vinculación con la Sociedad</w:t>
      </w:r>
    </w:p>
    <w:p w14:paraId="20AD252E" w14:textId="77777777" w:rsidR="00621A0E" w:rsidRDefault="00621A0E" w:rsidP="006336AC">
      <w:pPr>
        <w:pStyle w:val="documento"/>
        <w:ind w:left="851"/>
      </w:pPr>
      <w:r>
        <w:t>Dirección de Datos Personales</w:t>
      </w:r>
    </w:p>
    <w:p w14:paraId="1EB7810F" w14:textId="77777777" w:rsidR="00621A0E" w:rsidRDefault="00621A0E" w:rsidP="006336AC">
      <w:pPr>
        <w:pStyle w:val="documento"/>
        <w:ind w:left="851"/>
      </w:pPr>
      <w:r>
        <w:t>Dirección de Tecnologías de Información</w:t>
      </w:r>
    </w:p>
    <w:p w14:paraId="1BC0A462" w14:textId="77777777" w:rsidR="00621A0E" w:rsidRDefault="00621A0E" w:rsidP="006336AC">
      <w:pPr>
        <w:pStyle w:val="documento"/>
        <w:ind w:left="851"/>
      </w:pPr>
      <w:r>
        <w:t>Dirección de Administración y Finanzas</w:t>
      </w:r>
    </w:p>
    <w:p w14:paraId="69FB8920" w14:textId="1BE6B60B" w:rsidR="00621A0E" w:rsidRDefault="00621A0E" w:rsidP="006336AC">
      <w:pPr>
        <w:pStyle w:val="documento"/>
        <w:ind w:left="851"/>
      </w:pPr>
      <w:r>
        <w:t>Dirección de Comunicación Social</w:t>
      </w:r>
    </w:p>
    <w:p w14:paraId="71C87F71" w14:textId="77777777" w:rsidR="00621A0E" w:rsidRDefault="00621A0E" w:rsidP="006336AC">
      <w:pPr>
        <w:pStyle w:val="documento"/>
        <w:ind w:left="851"/>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50CB3F6"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fecha 31 de diciembre de 2008, 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145DD7A4" w14:textId="77777777" w:rsidR="00885AFC" w:rsidRDefault="00885AFC"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w:t>
      </w:r>
      <w:r>
        <w:lastRenderedPageBreak/>
        <w:t xml:space="preserve">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6FC64495" w14:textId="77777777" w:rsidR="00AC2242" w:rsidRDefault="00AC2242" w:rsidP="00AC2242">
      <w:pPr>
        <w:pStyle w:val="documento"/>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482EA15C" w14:textId="59E14451" w:rsidR="002F2AF3" w:rsidRDefault="00047375" w:rsidP="002F2AF3">
      <w:pPr>
        <w:pStyle w:val="documento"/>
      </w:pPr>
      <w:r w:rsidRPr="00C73C17">
        <w:t>El Instituto de Acceso a la Información Pública y Protección de Datos Personales del Distrito Federal</w:t>
      </w:r>
      <w:r w:rsidR="00856078" w:rsidRPr="00C73C17">
        <w:t>, Ente Público del Gobierno de la Ciudad de México, recibió los recursos para su operación de conformidad con el Decreto de Presupuesto de Egresos del Distrit</w:t>
      </w:r>
      <w:r w:rsidR="006A545E">
        <w:t>o Federal para el Ejercicio 2017</w:t>
      </w:r>
      <w:r w:rsidR="00856078" w:rsidRPr="00C73C17">
        <w:t xml:space="preserve"> aprobado por la Asamblea Legislativa del Distrito Federal publicado en la Gaceta Oficial del D</w:t>
      </w:r>
      <w:r w:rsidR="006A545E">
        <w:t>istrito Federal el día 29 de diciembre de 2016</w:t>
      </w:r>
      <w:r w:rsidR="00856078" w:rsidRPr="00C73C17">
        <w:t>, por lo que los estados financieros se realizaron sobre la base de existencia permanente ya que se enc</w:t>
      </w:r>
      <w:r w:rsidR="00E06D98">
        <w:t xml:space="preserve">uentra </w:t>
      </w:r>
      <w:r w:rsidR="00856078" w:rsidRPr="00C73C17">
        <w:t>en la posibilidad de</w:t>
      </w:r>
      <w:r w:rsidR="000B5882">
        <w:t xml:space="preserve"> </w:t>
      </w:r>
      <w:r w:rsidR="00E1032E">
        <w:t xml:space="preserve">ejecutar </w:t>
      </w:r>
      <w:r w:rsidR="00856078" w:rsidRPr="00C73C17">
        <w:t xml:space="preserve">su </w:t>
      </w:r>
      <w:r w:rsidR="00856078" w:rsidRPr="00C73C17">
        <w:lastRenderedPageBreak/>
        <w:t xml:space="preserve">Programa Operativo Anual; asimismo, </w:t>
      </w:r>
      <w:r w:rsidR="002F2AF3" w:rsidRPr="00C73C17">
        <w:t xml:space="preserve">actualmente no </w:t>
      </w:r>
      <w:r w:rsidR="00E06D98">
        <w:t xml:space="preserve">está </w:t>
      </w:r>
      <w:r w:rsidR="002F2AF3" w:rsidRPr="00C73C17">
        <w:t>en proceso de desincorporación ni extinción derivado de alguna Ley o Decreto.</w:t>
      </w:r>
    </w:p>
    <w:p w14:paraId="21CA8BD0" w14:textId="77777777" w:rsidR="000B5882" w:rsidRPr="000B5882" w:rsidRDefault="000B5882" w:rsidP="00254975">
      <w:pPr>
        <w:pStyle w:val="documento"/>
        <w:tabs>
          <w:tab w:val="left" w:pos="567"/>
        </w:tabs>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1E243D4F" w14:textId="77777777" w:rsidR="00BD0E8B" w:rsidRDefault="00BD0E8B" w:rsidP="00BD0E8B">
      <w:pPr>
        <w:pStyle w:val="documento"/>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77777777" w:rsidR="00BD0E8B" w:rsidRDefault="00BD0E8B" w:rsidP="00BD0E8B">
      <w:pPr>
        <w:pStyle w:val="documento"/>
      </w:pPr>
      <w:r>
        <w:t>Con  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4B34F7E" w14:textId="77777777" w:rsidR="00BD0E8B" w:rsidRDefault="00BD0E8B"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234992B2" w14:textId="77777777" w:rsidR="00BD0E8B" w:rsidRDefault="00BD0E8B"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5B7AB154" w:rsidR="00BD0E8B" w:rsidRDefault="00BD0E8B" w:rsidP="000D6A51">
      <w:pPr>
        <w:pStyle w:val="documento"/>
        <w:tabs>
          <w:tab w:val="left" w:pos="567"/>
        </w:tabs>
      </w:pPr>
      <w:r>
        <w:t>-</w:t>
      </w:r>
      <w:r>
        <w:tab/>
        <w:t>Las Normas de Internacionales de Contabilidad para el Sector Publico (NICSP) emitidas por la Junta de Normas Internacionales de Contabilidad del Sector Publico (International Public Sector Accounting Standards Board, International F</w:t>
      </w:r>
      <w:r w:rsidR="00B07416">
        <w:t>ederation Accounting Committee).</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lastRenderedPageBreak/>
        <w:t>-</w:t>
      </w:r>
      <w:r>
        <w:tab/>
        <w:t>Las Normas de Información Financiera del Consejo Mexicano para la Investigación y Desarrollo de Normas de Información Financiera (CINIF).</w:t>
      </w:r>
    </w:p>
    <w:p w14:paraId="52779D56" w14:textId="77777777" w:rsidR="00BD0E8B" w:rsidRDefault="00BD0E8B" w:rsidP="00BD0E8B">
      <w:pPr>
        <w:pStyle w:val="documento"/>
      </w:pPr>
    </w:p>
    <w:p w14:paraId="51DBD6CA" w14:textId="77777777" w:rsidR="00BD0E8B" w:rsidRDefault="00BD0E8B" w:rsidP="00BD0E8B">
      <w:pPr>
        <w:pStyle w:val="documento"/>
      </w:pPr>
      <w:r>
        <w:t>En noviembre de 2010 el CONAC emitió el Manual de Contabilidad Gubernamental, el cual fue modificado mediante acuerdo publicado el 30 de diciembre de 2013.</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Default="00BD0E8B" w:rsidP="00BD0E8B">
      <w:pPr>
        <w:pStyle w:val="documento"/>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99CC076" w:rsidR="00BD0E8B" w:rsidRDefault="00BD0E8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Default="00BD0E8B" w:rsidP="00BD0E8B">
      <w:pPr>
        <w:pStyle w:val="documento"/>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30%</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1E21E363" w14:textId="77777777" w:rsidR="00BD0E8B" w:rsidRDefault="00BD0E8B" w:rsidP="00BD0E8B">
      <w:pPr>
        <w:pStyle w:val="documento"/>
      </w:pPr>
    </w:p>
    <w:p w14:paraId="151D022B" w14:textId="77777777" w:rsidR="00BD0E8B" w:rsidRDefault="00BD0E8B" w:rsidP="00BD0E8B">
      <w:pPr>
        <w:pStyle w:val="documento"/>
      </w:pPr>
      <w:r>
        <w:t>Las colecciones y libros no son depreciados, considerando la naturaleza de estos activos.</w:t>
      </w:r>
    </w:p>
    <w:p w14:paraId="68BDF3AF" w14:textId="77777777" w:rsidR="0084503B" w:rsidRDefault="0084503B" w:rsidP="00BD0E8B">
      <w:pPr>
        <w:pStyle w:val="documento"/>
      </w:pPr>
    </w:p>
    <w:p w14:paraId="14E8DDC0" w14:textId="4CEC61C6" w:rsidR="00BD0E8B" w:rsidRPr="000B5882" w:rsidRDefault="00BD0E8B" w:rsidP="007D292C">
      <w:pPr>
        <w:pStyle w:val="documento"/>
        <w:numPr>
          <w:ilvl w:val="0"/>
          <w:numId w:val="7"/>
        </w:numPr>
        <w:ind w:left="567" w:hanging="567"/>
        <w:rPr>
          <w:b/>
        </w:rPr>
      </w:pPr>
      <w:r w:rsidRPr="000B5882">
        <w:rPr>
          <w:b/>
        </w:rPr>
        <w:t>Activos Intangibles</w:t>
      </w:r>
    </w:p>
    <w:p w14:paraId="448FD615" w14:textId="77777777" w:rsidR="00BD0E8B" w:rsidRDefault="00BD0E8B"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7F427B6F" w14:textId="77777777" w:rsidR="00BD0E8B" w:rsidRDefault="00BD0E8B" w:rsidP="00BD0E8B">
      <w:pPr>
        <w:pStyle w:val="documento"/>
      </w:pPr>
    </w:p>
    <w:p w14:paraId="34865C78" w14:textId="77777777" w:rsidR="00BD0E8B" w:rsidRDefault="00BD0E8B" w:rsidP="00BD0E8B">
      <w:pPr>
        <w:pStyle w:val="documento"/>
      </w:pPr>
      <w:r>
        <w:t>Licencias y software</w:t>
      </w:r>
      <w:r>
        <w:tab/>
        <w:t>100%</w:t>
      </w:r>
    </w:p>
    <w:p w14:paraId="3339BF39" w14:textId="77777777" w:rsidR="0084503B" w:rsidRDefault="0084503B"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579B6A96" w:rsidR="00BD0E8B" w:rsidRDefault="00BD0E8B" w:rsidP="00BD0E8B">
      <w:pPr>
        <w:pStyle w:val="documento"/>
      </w:pPr>
      <w:r>
        <w:t xml:space="preserve">Para financiar sus gastos de operación y de inversión, el Instituto recibe ministraciones de recursos, autorizadas por la Asamblea Legislativa del Distrito Federal, y suministradas por </w:t>
      </w:r>
      <w:r w:rsidR="003B2140">
        <w:t>la Secretaría de 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4A07DD3E" w14:textId="77777777" w:rsidR="00BD0E8B" w:rsidRDefault="00BD0E8B" w:rsidP="00B2580E">
      <w:pPr>
        <w:pStyle w:val="documento"/>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lastRenderedPageBreak/>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2A7DE79F" w14:textId="42AB16C5" w:rsidR="003226FB" w:rsidRPr="003226FB" w:rsidRDefault="00A42F56" w:rsidP="00015040">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terminado al 30</w:t>
      </w:r>
      <w:r w:rsidR="003226FB" w:rsidRPr="003226FB">
        <w:rPr>
          <w:rFonts w:ascii="Gotham Rounded Book" w:hAnsi="Gotham Rounded Book"/>
        </w:rPr>
        <w:t xml:space="preserve"> de </w:t>
      </w:r>
      <w:r w:rsidR="00567425">
        <w:rPr>
          <w:rFonts w:ascii="Gotham Rounded Book" w:hAnsi="Gotham Rounded Book"/>
        </w:rPr>
        <w:t>septiembre</w:t>
      </w:r>
      <w:r w:rsidR="00450507">
        <w:rPr>
          <w:rFonts w:ascii="Gotham Rounded Book" w:hAnsi="Gotham Rounded Book"/>
        </w:rPr>
        <w:t xml:space="preserve"> </w:t>
      </w:r>
      <w:r w:rsidR="003226FB" w:rsidRPr="003226FB">
        <w:rPr>
          <w:rFonts w:ascii="Gotham Rounded Book" w:hAnsi="Gotham Rounded Book"/>
        </w:rPr>
        <w:t>de 201</w:t>
      </w:r>
      <w:r w:rsidR="0046036E">
        <w:rPr>
          <w:rFonts w:ascii="Gotham Rounded Book" w:hAnsi="Gotham Rounded Book"/>
        </w:rPr>
        <w:t>7</w:t>
      </w:r>
      <w:r w:rsidR="003226FB" w:rsidRPr="003226FB">
        <w:rPr>
          <w:rFonts w:ascii="Gotham Rounded Book" w:hAnsi="Gotham Rounded Book"/>
        </w:rPr>
        <w:t>, las ministraciones de recursos recibidas por el Instituto se distribuyeron como se muestra en el siguiente cuadro. La distribución entre gastos de operación y gastos de inversión es decidida por el Pleno del Instituto.</w:t>
      </w:r>
    </w:p>
    <w:tbl>
      <w:tblPr>
        <w:tblW w:w="0" w:type="auto"/>
        <w:tblInd w:w="5" w:type="dxa"/>
        <w:tblCellMar>
          <w:left w:w="70" w:type="dxa"/>
          <w:right w:w="70" w:type="dxa"/>
        </w:tblCellMar>
        <w:tblLook w:val="0000" w:firstRow="0" w:lastRow="0" w:firstColumn="0" w:lastColumn="0" w:noHBand="0" w:noVBand="0"/>
      </w:tblPr>
      <w:tblGrid>
        <w:gridCol w:w="6511"/>
        <w:gridCol w:w="2581"/>
      </w:tblGrid>
      <w:tr w:rsidR="00015040" w:rsidRPr="0046342F" w14:paraId="41F253D4" w14:textId="77777777" w:rsidTr="00015040">
        <w:tc>
          <w:tcPr>
            <w:tcW w:w="6511" w:type="dxa"/>
            <w:tcBorders>
              <w:top w:val="single" w:sz="4" w:space="0" w:color="auto"/>
              <w:left w:val="single" w:sz="4" w:space="0" w:color="auto"/>
              <w:bottom w:val="single" w:sz="4" w:space="0" w:color="auto"/>
              <w:right w:val="single" w:sz="4" w:space="0" w:color="auto"/>
            </w:tcBorders>
            <w:vAlign w:val="bottom"/>
          </w:tcPr>
          <w:p w14:paraId="580A46F4" w14:textId="77777777" w:rsidR="00015040" w:rsidRPr="00015040" w:rsidRDefault="00015040" w:rsidP="0000174D">
            <w:pPr>
              <w:spacing w:after="0"/>
              <w:rPr>
                <w:rFonts w:ascii="Gotham Rounded Book" w:hAnsi="Gotham Rounded Book"/>
              </w:rPr>
            </w:pPr>
            <w:r w:rsidRPr="00015040">
              <w:rPr>
                <w:rFonts w:ascii="Gotham Rounded Book" w:hAnsi="Gotham Rounded Book"/>
              </w:rPr>
              <w:t>Ministraciones destinadas a gastos de operación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D50DB1B" w14:textId="6CCB03C7" w:rsidR="00015040" w:rsidRPr="00015040" w:rsidRDefault="0046036E" w:rsidP="00E044D2">
            <w:pPr>
              <w:spacing w:after="0"/>
              <w:jc w:val="right"/>
              <w:rPr>
                <w:rFonts w:ascii="Gotham Rounded Book" w:hAnsi="Gotham Rounded Book"/>
              </w:rPr>
            </w:pPr>
            <w:r w:rsidRPr="0046036E">
              <w:rPr>
                <w:rFonts w:ascii="Gotham Rounded Book" w:hAnsi="Gotham Rounded Book"/>
              </w:rPr>
              <w:t>$</w:t>
            </w:r>
            <w:r w:rsidR="00E044D2">
              <w:rPr>
                <w:rFonts w:ascii="Gotham Rounded Book" w:hAnsi="Gotham Rounded Book"/>
              </w:rPr>
              <w:t>103,239,434.27</w:t>
            </w:r>
          </w:p>
        </w:tc>
      </w:tr>
      <w:tr w:rsidR="00015040" w:rsidRPr="0046342F" w14:paraId="534BFA08" w14:textId="77777777" w:rsidTr="00015040">
        <w:tc>
          <w:tcPr>
            <w:tcW w:w="6511" w:type="dxa"/>
            <w:tcBorders>
              <w:top w:val="single" w:sz="4" w:space="0" w:color="auto"/>
              <w:left w:val="single" w:sz="4" w:space="0" w:color="auto"/>
              <w:bottom w:val="single" w:sz="4" w:space="0" w:color="auto"/>
              <w:right w:val="single" w:sz="4" w:space="0" w:color="auto"/>
            </w:tcBorders>
            <w:shd w:val="clear" w:color="auto" w:fill="auto"/>
          </w:tcPr>
          <w:p w14:paraId="0886CEA0" w14:textId="77777777" w:rsidR="00015040" w:rsidRPr="00015040" w:rsidRDefault="00015040" w:rsidP="0000174D">
            <w:pPr>
              <w:spacing w:after="0"/>
              <w:rPr>
                <w:rFonts w:ascii="Gotham Rounded Book" w:hAnsi="Gotham Rounded Book"/>
              </w:rPr>
            </w:pPr>
            <w:r w:rsidRPr="00015040">
              <w:rPr>
                <w:rFonts w:ascii="Gotham Rounded Book" w:hAnsi="Gotham Rounded Book"/>
              </w:rPr>
              <w:t>Ministraciones destinadas a gastos de inversión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6B1851A" w14:textId="2C1135F7" w:rsidR="00015040" w:rsidRPr="00015040" w:rsidRDefault="0046036E" w:rsidP="00015040">
            <w:pPr>
              <w:spacing w:after="0"/>
              <w:jc w:val="right"/>
              <w:rPr>
                <w:rFonts w:ascii="Gotham Rounded Book" w:hAnsi="Gotham Rounded Book"/>
              </w:rPr>
            </w:pPr>
            <w:r>
              <w:rPr>
                <w:rFonts w:ascii="Gotham Rounded Book" w:hAnsi="Gotham Rounded Book"/>
              </w:rPr>
              <w:t>208,900.73</w:t>
            </w:r>
          </w:p>
        </w:tc>
      </w:tr>
      <w:tr w:rsidR="00015040" w:rsidRPr="0046342F" w14:paraId="680488CD" w14:textId="77777777" w:rsidTr="00015040">
        <w:tc>
          <w:tcPr>
            <w:tcW w:w="6511" w:type="dxa"/>
            <w:tcBorders>
              <w:top w:val="single" w:sz="4" w:space="0" w:color="auto"/>
              <w:left w:val="single" w:sz="4" w:space="0" w:color="auto"/>
              <w:bottom w:val="single" w:sz="4" w:space="0" w:color="auto"/>
              <w:right w:val="single" w:sz="4" w:space="0" w:color="auto"/>
            </w:tcBorders>
          </w:tcPr>
          <w:p w14:paraId="24C3D89A" w14:textId="77777777" w:rsidR="00015040" w:rsidRPr="00015040" w:rsidRDefault="00015040" w:rsidP="0000174D">
            <w:pPr>
              <w:spacing w:after="0"/>
              <w:rPr>
                <w:rFonts w:ascii="Gotham Rounded Book" w:hAnsi="Gotham Rounded Book"/>
              </w:rPr>
            </w:pPr>
            <w:r w:rsidRPr="00015040">
              <w:rPr>
                <w:rFonts w:ascii="Gotham Rounded Book" w:hAnsi="Gotham Rounded Book"/>
              </w:rPr>
              <w:t>Total ministraciones recibidas</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85961AB" w14:textId="2B6F6D90" w:rsidR="00015040" w:rsidRPr="00015040" w:rsidRDefault="00015040" w:rsidP="00E044D2">
            <w:pPr>
              <w:spacing w:after="0"/>
              <w:jc w:val="right"/>
              <w:rPr>
                <w:rFonts w:ascii="Gotham Rounded Book" w:hAnsi="Gotham Rounded Book"/>
              </w:rPr>
            </w:pPr>
            <w:r w:rsidRPr="00015040">
              <w:rPr>
                <w:rFonts w:ascii="Gotham Rounded Book" w:hAnsi="Gotham Rounded Book"/>
              </w:rPr>
              <w:t>$</w:t>
            </w:r>
            <w:r w:rsidR="00E044D2">
              <w:rPr>
                <w:rFonts w:ascii="Gotham Rounded Book" w:hAnsi="Gotham Rounded Book"/>
              </w:rPr>
              <w:t>103,448,335.00</w:t>
            </w:r>
          </w:p>
        </w:tc>
      </w:tr>
    </w:tbl>
    <w:p w14:paraId="3B6E94E3" w14:textId="77777777" w:rsidR="003226FB" w:rsidRPr="003226FB" w:rsidRDefault="003226FB" w:rsidP="003226FB">
      <w:pPr>
        <w:rPr>
          <w:rFonts w:ascii="Gotham Rounded Book" w:hAnsi="Gotham Rounded Book"/>
        </w:rPr>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7C62D5EA"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Acceso a la Información Pública y Protección de Datos Personales del Distrito Federal </w:t>
      </w:r>
      <w:r>
        <w:rPr>
          <w:rFonts w:ascii="Gotham Rounded Book" w:hAnsi="Gotham Rounded Book"/>
        </w:rPr>
        <w:t>d</w:t>
      </w:r>
      <w:r w:rsidR="003226FB" w:rsidRPr="003226FB">
        <w:rPr>
          <w:rFonts w:ascii="Gotham Rounded Book" w:hAnsi="Gotham Rounded Book"/>
        </w:rPr>
        <w:t>el periodo comprendido del 1 de e</w:t>
      </w:r>
      <w:r w:rsidR="00A97520">
        <w:rPr>
          <w:rFonts w:ascii="Gotham Rounded Book" w:hAnsi="Gotham Rounded Book"/>
        </w:rPr>
        <w:t>nero al 30</w:t>
      </w:r>
      <w:r>
        <w:rPr>
          <w:rFonts w:ascii="Gotham Rounded Book" w:hAnsi="Gotham Rounded Book"/>
        </w:rPr>
        <w:t xml:space="preserve"> de </w:t>
      </w:r>
      <w:r w:rsidR="00A97520">
        <w:rPr>
          <w:rFonts w:ascii="Gotham Rounded Book" w:hAnsi="Gotham Rounded Book"/>
        </w:rPr>
        <w:t>septiembre</w:t>
      </w:r>
      <w:r w:rsidR="006234A3">
        <w:rPr>
          <w:rFonts w:ascii="Gotham Rounded Book" w:hAnsi="Gotham Rounded Book"/>
        </w:rPr>
        <w:t xml:space="preserve"> </w:t>
      </w:r>
      <w:r>
        <w:rPr>
          <w:rFonts w:ascii="Gotham Rounded Book" w:hAnsi="Gotham Rounded Book"/>
        </w:rPr>
        <w:t>de 201</w:t>
      </w:r>
      <w:r w:rsidR="00C917CD">
        <w:rPr>
          <w:rFonts w:ascii="Gotham Rounded Book" w:hAnsi="Gotham Rounded Book"/>
        </w:rPr>
        <w:t>7</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015040">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tcPr>
          <w:p w14:paraId="71B83B74" w14:textId="2772EFD1" w:rsidR="00015040" w:rsidRPr="00015040" w:rsidRDefault="00015040" w:rsidP="00A97520">
            <w:pPr>
              <w:spacing w:after="0"/>
              <w:jc w:val="right"/>
              <w:rPr>
                <w:rFonts w:ascii="Gotham Rounded Book" w:hAnsi="Gotham Rounded Book"/>
              </w:rPr>
            </w:pPr>
            <w:r w:rsidRPr="00015040">
              <w:rPr>
                <w:rFonts w:ascii="Gotham Rounded Book" w:hAnsi="Gotham Rounded Book"/>
              </w:rPr>
              <w:t>$</w:t>
            </w:r>
            <w:r w:rsidR="00A97520">
              <w:rPr>
                <w:rFonts w:ascii="Gotham Rounded Book" w:hAnsi="Gotham Rounded Book"/>
              </w:rPr>
              <w:t>103,448,335.00</w:t>
            </w:r>
          </w:p>
        </w:tc>
      </w:tr>
      <w:tr w:rsidR="00015040" w:rsidRPr="00EA69DB" w14:paraId="35107236" w14:textId="77777777" w:rsidTr="00015040">
        <w:tc>
          <w:tcPr>
            <w:tcW w:w="6096" w:type="dxa"/>
          </w:tcPr>
          <w:p w14:paraId="47E825AE"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ejercido</w:t>
            </w:r>
          </w:p>
        </w:tc>
        <w:tc>
          <w:tcPr>
            <w:tcW w:w="1868" w:type="dxa"/>
            <w:tcBorders>
              <w:bottom w:val="single" w:sz="4" w:space="0" w:color="auto"/>
            </w:tcBorders>
          </w:tcPr>
          <w:p w14:paraId="2FFA6C10" w14:textId="2C2903CF" w:rsidR="00015040" w:rsidRPr="00015040" w:rsidRDefault="00A97520" w:rsidP="00015040">
            <w:pPr>
              <w:spacing w:after="0"/>
              <w:jc w:val="right"/>
              <w:rPr>
                <w:rFonts w:ascii="Gotham Rounded Book" w:hAnsi="Gotham Rounded Book"/>
              </w:rPr>
            </w:pPr>
            <w:r>
              <w:rPr>
                <w:rFonts w:ascii="Gotham Rounded Book" w:hAnsi="Gotham Rounded Book"/>
              </w:rPr>
              <w:t>90,382,262.67</w:t>
            </w:r>
          </w:p>
        </w:tc>
      </w:tr>
      <w:tr w:rsidR="00015040" w:rsidRPr="00B05794" w14:paraId="5F2FA450" w14:textId="77777777" w:rsidTr="00015040">
        <w:tc>
          <w:tcPr>
            <w:tcW w:w="6096" w:type="dxa"/>
          </w:tcPr>
          <w:p w14:paraId="52FA57A2" w14:textId="408D4AA0" w:rsidR="00015040" w:rsidRPr="00015040" w:rsidRDefault="00C917CD" w:rsidP="007D726C">
            <w:pPr>
              <w:spacing w:after="0"/>
              <w:ind w:left="0" w:firstLine="0"/>
              <w:rPr>
                <w:rFonts w:ascii="Gotham Rounded Book" w:hAnsi="Gotham Rounded Book"/>
              </w:rPr>
            </w:pPr>
            <w:r>
              <w:rPr>
                <w:rFonts w:ascii="Gotham Rounded Book" w:hAnsi="Gotham Rounded Book"/>
              </w:rPr>
              <w:t>Remanente</w:t>
            </w:r>
          </w:p>
        </w:tc>
        <w:tc>
          <w:tcPr>
            <w:tcW w:w="1868" w:type="dxa"/>
            <w:tcBorders>
              <w:top w:val="single" w:sz="4" w:space="0" w:color="auto"/>
              <w:bottom w:val="double" w:sz="4" w:space="0" w:color="auto"/>
            </w:tcBorders>
          </w:tcPr>
          <w:p w14:paraId="6900CFC5" w14:textId="7423DB98" w:rsidR="00015040" w:rsidRPr="00015040" w:rsidRDefault="00C917CD" w:rsidP="00A97520">
            <w:pPr>
              <w:spacing w:after="0"/>
              <w:jc w:val="right"/>
              <w:rPr>
                <w:rFonts w:ascii="Gotham Rounded Book" w:hAnsi="Gotham Rounded Book"/>
              </w:rPr>
            </w:pPr>
            <w:r w:rsidRPr="00C917CD">
              <w:rPr>
                <w:rFonts w:ascii="Gotham Rounded Book" w:hAnsi="Gotham Rounded Book"/>
              </w:rPr>
              <w:t>$</w:t>
            </w:r>
            <w:r w:rsidR="00A97520">
              <w:rPr>
                <w:rFonts w:ascii="Gotham Rounded Book" w:hAnsi="Gotham Rounded Book"/>
              </w:rPr>
              <w:t>13,066,072.33</w:t>
            </w:r>
          </w:p>
        </w:tc>
      </w:tr>
    </w:tbl>
    <w:p w14:paraId="6FAC0D7C" w14:textId="77777777" w:rsidR="00D07BCD" w:rsidRDefault="00D07BCD" w:rsidP="00735F7E">
      <w:pPr>
        <w:pStyle w:val="Textoindependiente22"/>
        <w:rPr>
          <w:rFonts w:ascii="Gotham Rounded Book" w:eastAsia="Calibri" w:hAnsi="Gotham Rounded Book"/>
          <w:b/>
          <w:sz w:val="22"/>
          <w:szCs w:val="22"/>
          <w:lang w:val="es-MX" w:eastAsia="en-US"/>
        </w:rPr>
      </w:pPr>
    </w:p>
    <w:p w14:paraId="7EB11556" w14:textId="77777777" w:rsidR="00F45F65" w:rsidRDefault="00F45F65" w:rsidP="00735F7E">
      <w:pPr>
        <w:pStyle w:val="Textoindependiente22"/>
        <w:rPr>
          <w:rFonts w:ascii="Gotham Rounded Book" w:eastAsia="Calibri" w:hAnsi="Gotham Rounded Book"/>
          <w:b/>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67FEDE40" w:rsidR="00735F7E" w:rsidRPr="00735F7E" w:rsidRDefault="00735F7E" w:rsidP="00735F7E">
      <w:pPr>
        <w:spacing w:after="0" w:line="240" w:lineRule="auto"/>
        <w:ind w:left="0" w:firstLine="0"/>
        <w:rPr>
          <w:rFonts w:ascii="Gotham Rounded Book" w:hAnsi="Gotham Rounded Book"/>
        </w:rPr>
      </w:pPr>
      <w:r w:rsidRPr="005B7886">
        <w:rPr>
          <w:rFonts w:ascii="Gotham Rounded Book" w:hAnsi="Gotham Rounded Book"/>
        </w:rPr>
        <w:t xml:space="preserve">Los estados financieros y sus notas fueron autorizados para su emisión el </w:t>
      </w:r>
      <w:r w:rsidR="00934A34">
        <w:rPr>
          <w:rFonts w:ascii="Gotham Rounded Book" w:hAnsi="Gotham Rounded Book"/>
        </w:rPr>
        <w:t>1</w:t>
      </w:r>
      <w:r w:rsidR="002F23FB">
        <w:rPr>
          <w:rFonts w:ascii="Gotham Rounded Book" w:hAnsi="Gotham Rounded Book"/>
        </w:rPr>
        <w:t>8</w:t>
      </w:r>
      <w:r w:rsidR="000048B7" w:rsidRPr="005B7886">
        <w:rPr>
          <w:rFonts w:ascii="Gotham Rounded Book" w:hAnsi="Gotham Rounded Book"/>
        </w:rPr>
        <w:t xml:space="preserve"> de </w:t>
      </w:r>
      <w:r w:rsidR="002F23FB">
        <w:rPr>
          <w:rFonts w:ascii="Gotham Rounded Book" w:hAnsi="Gotham Rounded Book"/>
        </w:rPr>
        <w:t>octubre</w:t>
      </w:r>
      <w:bookmarkStart w:id="3" w:name="_GoBack"/>
      <w:bookmarkEnd w:id="3"/>
      <w:r w:rsidR="00934A34">
        <w:rPr>
          <w:rFonts w:ascii="Gotham Rounded Book" w:hAnsi="Gotham Rounded Book"/>
        </w:rPr>
        <w:t xml:space="preserve"> </w:t>
      </w:r>
      <w:r w:rsidRPr="005B7886">
        <w:rPr>
          <w:rFonts w:ascii="Gotham Rounded Book" w:hAnsi="Gotham Rounded Book"/>
        </w:rPr>
        <w:t>de 2017</w:t>
      </w:r>
      <w:r w:rsidRPr="00735F7E">
        <w:rPr>
          <w:rFonts w:ascii="Gotham Rounded Book" w:hAnsi="Gotham Rounded Book"/>
        </w:rPr>
        <w:t xml:space="preserve"> por los funcionarios del Instituto de Acceso a la Información Pública y Protección de Datos Personales del Distrito Federal.</w:t>
      </w:r>
    </w:p>
    <w:p w14:paraId="15DC2AF9" w14:textId="77777777" w:rsidR="00735F7E" w:rsidRPr="002F2AF3" w:rsidRDefault="00735F7E" w:rsidP="00735F7E">
      <w:pPr>
        <w:spacing w:after="0" w:line="240" w:lineRule="auto"/>
        <w:rPr>
          <w:rFonts w:ascii="Arial Narrow" w:hAnsi="Arial Narrow"/>
          <w:sz w:val="20"/>
          <w:szCs w:val="20"/>
          <w:lang w:val="es-ES"/>
        </w:rPr>
      </w:pPr>
    </w:p>
    <w:p w14:paraId="3A6958AA" w14:textId="77777777" w:rsidR="00735F7E" w:rsidRPr="002F2AF3" w:rsidRDefault="00735F7E" w:rsidP="00735F7E">
      <w:pPr>
        <w:spacing w:after="0" w:line="240" w:lineRule="auto"/>
        <w:rPr>
          <w:rFonts w:ascii="Arial Narrow" w:hAnsi="Arial Narrow"/>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77777777"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RESPONSABLE DE ELABORAR LA INFORMACION</w:t>
            </w:r>
          </w:p>
        </w:tc>
        <w:tc>
          <w:tcPr>
            <w:tcW w:w="4697" w:type="dxa"/>
            <w:tcBorders>
              <w:bottom w:val="single" w:sz="4" w:space="0" w:color="000000"/>
            </w:tcBorders>
            <w:shd w:val="clear" w:color="auto" w:fill="D9D9D9"/>
          </w:tcPr>
          <w:p w14:paraId="74325130" w14:textId="77777777"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RESPONSABLE DE ENVIAR LA INFORMACION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ARMANDO M. GONZÁLEZ CAMPUZANO</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MUCIO ISRAEL HERNÁNDEZ GUERRERO</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DIRECTOR DE ADMINISTRACION Y FINANZAS*</w:t>
            </w:r>
          </w:p>
          <w:p w14:paraId="2C642F7A" w14:textId="77777777" w:rsidR="00735F7E" w:rsidRPr="002F2AF3" w:rsidRDefault="00735F7E" w:rsidP="00006836">
            <w:pPr>
              <w:spacing w:after="0" w:line="240" w:lineRule="auto"/>
              <w:rPr>
                <w:rFonts w:ascii="Arial Narrow" w:hAnsi="Arial Narrow"/>
                <w:sz w:val="20"/>
                <w:szCs w:val="20"/>
              </w:rPr>
            </w:pPr>
          </w:p>
          <w:p w14:paraId="1A7E37EF" w14:textId="77777777" w:rsidR="00735F7E" w:rsidRPr="002F2AF3" w:rsidRDefault="00735F7E"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683CEF5E" w14:textId="77777777" w:rsidR="00735F7E" w:rsidRPr="002F2AF3" w:rsidRDefault="00735F7E" w:rsidP="00735F7E">
      <w:pPr>
        <w:rPr>
          <w:rFonts w:ascii="Arial Narrow" w:hAnsi="Arial Narrow"/>
          <w:sz w:val="20"/>
          <w:szCs w:val="20"/>
          <w:lang w:val="es-ES" w:eastAsia="es-ES"/>
        </w:rPr>
      </w:pPr>
      <w:r w:rsidRPr="002F2AF3">
        <w:rPr>
          <w:rFonts w:ascii="Arial Narrow" w:hAnsi="Arial Narrow"/>
          <w:sz w:val="20"/>
          <w:szCs w:val="20"/>
          <w:lang w:val="es-ES" w:eastAsia="es-ES"/>
        </w:rPr>
        <w:t>*De conformidad con el Acuerdo del Pleno número 1461/SO/05-11/2014.</w:t>
      </w:r>
    </w:p>
    <w:p w14:paraId="5E85CBD7" w14:textId="185EA4A2" w:rsidR="006A195E" w:rsidRDefault="006A195E">
      <w:pPr>
        <w:spacing w:after="0"/>
        <w:rPr>
          <w:rFonts w:ascii="Gotham Rounded Book" w:hAnsi="Gotham Rounded Book"/>
        </w:rPr>
      </w:pPr>
    </w:p>
    <w:p w14:paraId="2EC13B00" w14:textId="77777777" w:rsidR="004C2870" w:rsidRDefault="004C2870" w:rsidP="0057442F">
      <w:pPr>
        <w:spacing w:after="0"/>
        <w:ind w:left="0" w:firstLine="0"/>
        <w:sectPr w:rsidR="004C2870" w:rsidSect="00E100AC">
          <w:headerReference w:type="default" r:id="rId12"/>
          <w:footerReference w:type="default" r:id="rId13"/>
          <w:pgSz w:w="12240" w:h="15840" w:code="1"/>
          <w:pgMar w:top="1418" w:right="1418" w:bottom="1418" w:left="1418" w:header="709" w:footer="709" w:gutter="0"/>
          <w:cols w:space="708"/>
          <w:docGrid w:linePitch="360"/>
        </w:sectPr>
      </w:pPr>
    </w:p>
    <w:p w14:paraId="4DE9CDDF" w14:textId="77777777" w:rsidR="005A4065" w:rsidRDefault="005A4065" w:rsidP="00A068C2">
      <w:pPr>
        <w:spacing w:after="0"/>
        <w:ind w:left="0" w:firstLine="0"/>
      </w:pPr>
    </w:p>
    <w:sectPr w:rsidR="005A4065"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D2323" w14:textId="77777777" w:rsidR="001C3604" w:rsidRDefault="001C3604" w:rsidP="00193049">
      <w:pPr>
        <w:spacing w:after="0" w:line="240" w:lineRule="auto"/>
      </w:pPr>
      <w:r>
        <w:separator/>
      </w:r>
    </w:p>
  </w:endnote>
  <w:endnote w:type="continuationSeparator" w:id="0">
    <w:p w14:paraId="245277E7" w14:textId="77777777" w:rsidR="001C3604" w:rsidRDefault="001C3604"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21135"/>
      <w:docPartObj>
        <w:docPartGallery w:val="Page Numbers (Bottom of Page)"/>
        <w:docPartUnique/>
      </w:docPartObj>
    </w:sdtPr>
    <w:sdtEndPr>
      <w:rPr>
        <w:color w:val="7F7F7F" w:themeColor="background1" w:themeShade="7F"/>
        <w:spacing w:val="60"/>
        <w:lang w:val="es-ES"/>
      </w:rPr>
    </w:sdtEndPr>
    <w:sdtContent>
      <w:p w14:paraId="4D2D1468" w14:textId="7A521E77" w:rsidR="003A3374" w:rsidRDefault="003A3374">
        <w:pPr>
          <w:pStyle w:val="Piedepgina"/>
          <w:pBdr>
            <w:top w:val="single" w:sz="4" w:space="1" w:color="D9D9D9" w:themeColor="background1" w:themeShade="D9"/>
          </w:pBdr>
          <w:jc w:val="right"/>
        </w:pPr>
        <w:r>
          <w:fldChar w:fldCharType="begin"/>
        </w:r>
        <w:r>
          <w:instrText>PAGE   \* MERGEFORMAT</w:instrText>
        </w:r>
        <w:r>
          <w:fldChar w:fldCharType="separate"/>
        </w:r>
        <w:r w:rsidR="002F23FB" w:rsidRPr="002F23FB">
          <w:rPr>
            <w:noProof/>
            <w:lang w:val="es-ES"/>
          </w:rPr>
          <w:t>14</w:t>
        </w:r>
        <w:r>
          <w:fldChar w:fldCharType="end"/>
        </w:r>
        <w:r>
          <w:rPr>
            <w:lang w:val="es-ES"/>
          </w:rPr>
          <w:t xml:space="preserve"> | </w:t>
        </w:r>
        <w:r>
          <w:rPr>
            <w:color w:val="7F7F7F" w:themeColor="background1" w:themeShade="7F"/>
            <w:spacing w:val="60"/>
            <w:lang w:val="es-ES"/>
          </w:rPr>
          <w:t>Página</w:t>
        </w:r>
      </w:p>
    </w:sdtContent>
  </w:sdt>
  <w:p w14:paraId="7BC210FB" w14:textId="77777777" w:rsidR="003A3374" w:rsidRDefault="003A33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3A3374" w:rsidRDefault="003A3374">
    <w:pPr>
      <w:pStyle w:val="Piedepgina"/>
    </w:pPr>
  </w:p>
  <w:p w14:paraId="7AAD7220" w14:textId="77777777" w:rsidR="003A3374" w:rsidRDefault="003A3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244DD" w14:textId="77777777" w:rsidR="001C3604" w:rsidRDefault="001C3604" w:rsidP="00193049">
      <w:pPr>
        <w:spacing w:after="0" w:line="240" w:lineRule="auto"/>
      </w:pPr>
      <w:r>
        <w:separator/>
      </w:r>
    </w:p>
  </w:footnote>
  <w:footnote w:type="continuationSeparator" w:id="0">
    <w:p w14:paraId="16EABF3B" w14:textId="77777777" w:rsidR="001C3604" w:rsidRDefault="001C3604"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F977" w14:textId="3CC6958E" w:rsidR="003A3374" w:rsidRDefault="003A3374">
    <w:pPr>
      <w:pStyle w:val="Encabezado"/>
    </w:pPr>
    <w:r>
      <w:rPr>
        <w:noProof/>
        <w:lang w:eastAsia="es-MX"/>
      </w:rPr>
      <w:drawing>
        <wp:inline distT="0" distB="0" distL="0" distR="0" wp14:anchorId="3E1C0181" wp14:editId="59B02C22">
          <wp:extent cx="1407381" cy="891746"/>
          <wp:effectExtent l="0" t="0" r="2540" b="3810"/>
          <wp:docPr id="4" name="Imagen 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461552" cy="926070"/>
                  </a:xfrm>
                  <a:prstGeom prst="rect">
                    <a:avLst/>
                  </a:prstGeom>
                  <a:noFill/>
                  <a:ln>
                    <a:noFill/>
                  </a:ln>
                  <a:extLst/>
                </pic:spPr>
              </pic:pic>
            </a:graphicData>
          </a:graphic>
        </wp:inline>
      </w:drawing>
    </w:r>
  </w:p>
  <w:p w14:paraId="3DECB5C4" w14:textId="77777777" w:rsidR="003A3374" w:rsidRDefault="003A33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5"/>
  </w:num>
  <w:num w:numId="5">
    <w:abstractNumId w:val="8"/>
  </w:num>
  <w:num w:numId="6">
    <w:abstractNumId w:val="1"/>
  </w:num>
  <w:num w:numId="7">
    <w:abstractNumId w:val="7"/>
  </w:num>
  <w:num w:numId="8">
    <w:abstractNumId w:val="10"/>
  </w:num>
  <w:num w:numId="9">
    <w:abstractNumId w:val="9"/>
  </w:num>
  <w:num w:numId="10">
    <w:abstractNumId w:val="11"/>
  </w:num>
  <w:num w:numId="11">
    <w:abstractNumId w:val="4"/>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174D"/>
    <w:rsid w:val="00001840"/>
    <w:rsid w:val="000048B7"/>
    <w:rsid w:val="00006836"/>
    <w:rsid w:val="00006C29"/>
    <w:rsid w:val="000106CE"/>
    <w:rsid w:val="0001284A"/>
    <w:rsid w:val="00012E1D"/>
    <w:rsid w:val="000140A1"/>
    <w:rsid w:val="00015040"/>
    <w:rsid w:val="00015D1D"/>
    <w:rsid w:val="0001638E"/>
    <w:rsid w:val="00017652"/>
    <w:rsid w:val="00026647"/>
    <w:rsid w:val="00031E5B"/>
    <w:rsid w:val="00032FD7"/>
    <w:rsid w:val="00034508"/>
    <w:rsid w:val="00034672"/>
    <w:rsid w:val="00037359"/>
    <w:rsid w:val="00037503"/>
    <w:rsid w:val="000426AF"/>
    <w:rsid w:val="000433D9"/>
    <w:rsid w:val="0004374B"/>
    <w:rsid w:val="00045070"/>
    <w:rsid w:val="00045C72"/>
    <w:rsid w:val="00047159"/>
    <w:rsid w:val="00047375"/>
    <w:rsid w:val="00050828"/>
    <w:rsid w:val="00050FBE"/>
    <w:rsid w:val="000519B0"/>
    <w:rsid w:val="0005484E"/>
    <w:rsid w:val="00056034"/>
    <w:rsid w:val="00064777"/>
    <w:rsid w:val="00073577"/>
    <w:rsid w:val="000736D9"/>
    <w:rsid w:val="00073A8A"/>
    <w:rsid w:val="0007440C"/>
    <w:rsid w:val="00076389"/>
    <w:rsid w:val="000769AC"/>
    <w:rsid w:val="000843E0"/>
    <w:rsid w:val="00085192"/>
    <w:rsid w:val="00087919"/>
    <w:rsid w:val="00092040"/>
    <w:rsid w:val="000A5BA2"/>
    <w:rsid w:val="000A7DBB"/>
    <w:rsid w:val="000B1303"/>
    <w:rsid w:val="000B1C81"/>
    <w:rsid w:val="000B2FF3"/>
    <w:rsid w:val="000B501A"/>
    <w:rsid w:val="000B5882"/>
    <w:rsid w:val="000B6603"/>
    <w:rsid w:val="000B6BED"/>
    <w:rsid w:val="000C03B4"/>
    <w:rsid w:val="000C0945"/>
    <w:rsid w:val="000C0FCF"/>
    <w:rsid w:val="000C2C4E"/>
    <w:rsid w:val="000C560E"/>
    <w:rsid w:val="000C5762"/>
    <w:rsid w:val="000C57F9"/>
    <w:rsid w:val="000C5EF6"/>
    <w:rsid w:val="000D0F8C"/>
    <w:rsid w:val="000D210B"/>
    <w:rsid w:val="000D30DB"/>
    <w:rsid w:val="000D3B4B"/>
    <w:rsid w:val="000D446E"/>
    <w:rsid w:val="000D6A51"/>
    <w:rsid w:val="000D7012"/>
    <w:rsid w:val="000E1697"/>
    <w:rsid w:val="000E3FF5"/>
    <w:rsid w:val="000E4C49"/>
    <w:rsid w:val="000F1187"/>
    <w:rsid w:val="000F14A0"/>
    <w:rsid w:val="000F1F7C"/>
    <w:rsid w:val="000F244F"/>
    <w:rsid w:val="000F2B65"/>
    <w:rsid w:val="000F36AA"/>
    <w:rsid w:val="000F42D2"/>
    <w:rsid w:val="00101E7F"/>
    <w:rsid w:val="001064BE"/>
    <w:rsid w:val="00107D24"/>
    <w:rsid w:val="00111A2D"/>
    <w:rsid w:val="001155F1"/>
    <w:rsid w:val="00121AAB"/>
    <w:rsid w:val="00122B23"/>
    <w:rsid w:val="00124773"/>
    <w:rsid w:val="00133D97"/>
    <w:rsid w:val="00134E4B"/>
    <w:rsid w:val="00137352"/>
    <w:rsid w:val="00140AB8"/>
    <w:rsid w:val="001415F3"/>
    <w:rsid w:val="00142012"/>
    <w:rsid w:val="00143B8C"/>
    <w:rsid w:val="00145655"/>
    <w:rsid w:val="00146A6F"/>
    <w:rsid w:val="00146C64"/>
    <w:rsid w:val="00152292"/>
    <w:rsid w:val="00155088"/>
    <w:rsid w:val="00155AA5"/>
    <w:rsid w:val="00157361"/>
    <w:rsid w:val="001577E0"/>
    <w:rsid w:val="001602B4"/>
    <w:rsid w:val="00160D6A"/>
    <w:rsid w:val="00162768"/>
    <w:rsid w:val="00162B9B"/>
    <w:rsid w:val="001632BD"/>
    <w:rsid w:val="00163839"/>
    <w:rsid w:val="00164347"/>
    <w:rsid w:val="001677FC"/>
    <w:rsid w:val="00167C52"/>
    <w:rsid w:val="001754F1"/>
    <w:rsid w:val="001854F1"/>
    <w:rsid w:val="00193049"/>
    <w:rsid w:val="00193628"/>
    <w:rsid w:val="001958EE"/>
    <w:rsid w:val="00196151"/>
    <w:rsid w:val="0019712D"/>
    <w:rsid w:val="001A04EC"/>
    <w:rsid w:val="001A2588"/>
    <w:rsid w:val="001A4BC5"/>
    <w:rsid w:val="001A7200"/>
    <w:rsid w:val="001A7549"/>
    <w:rsid w:val="001B055C"/>
    <w:rsid w:val="001B216B"/>
    <w:rsid w:val="001B2FBE"/>
    <w:rsid w:val="001B538D"/>
    <w:rsid w:val="001B5A79"/>
    <w:rsid w:val="001B5B4B"/>
    <w:rsid w:val="001B667C"/>
    <w:rsid w:val="001B7C57"/>
    <w:rsid w:val="001B7CFC"/>
    <w:rsid w:val="001B7D58"/>
    <w:rsid w:val="001C10AE"/>
    <w:rsid w:val="001C3604"/>
    <w:rsid w:val="001D17FE"/>
    <w:rsid w:val="001D5BD2"/>
    <w:rsid w:val="001E092C"/>
    <w:rsid w:val="001E125E"/>
    <w:rsid w:val="001E136D"/>
    <w:rsid w:val="001E26AA"/>
    <w:rsid w:val="001E44FA"/>
    <w:rsid w:val="001E5FE8"/>
    <w:rsid w:val="001E62DA"/>
    <w:rsid w:val="001E638A"/>
    <w:rsid w:val="001E6C0C"/>
    <w:rsid w:val="001F5F0F"/>
    <w:rsid w:val="00202219"/>
    <w:rsid w:val="00203630"/>
    <w:rsid w:val="00203EB4"/>
    <w:rsid w:val="0020446C"/>
    <w:rsid w:val="00205DAD"/>
    <w:rsid w:val="00210343"/>
    <w:rsid w:val="00210B47"/>
    <w:rsid w:val="002119F7"/>
    <w:rsid w:val="00213FE5"/>
    <w:rsid w:val="0021518D"/>
    <w:rsid w:val="002169D6"/>
    <w:rsid w:val="002207BC"/>
    <w:rsid w:val="002210A0"/>
    <w:rsid w:val="0022128C"/>
    <w:rsid w:val="00223BA1"/>
    <w:rsid w:val="00225317"/>
    <w:rsid w:val="0022651E"/>
    <w:rsid w:val="00231427"/>
    <w:rsid w:val="002316FA"/>
    <w:rsid w:val="00232515"/>
    <w:rsid w:val="002358E3"/>
    <w:rsid w:val="0023741D"/>
    <w:rsid w:val="002378FB"/>
    <w:rsid w:val="00241855"/>
    <w:rsid w:val="00243783"/>
    <w:rsid w:val="00243C4D"/>
    <w:rsid w:val="0024462B"/>
    <w:rsid w:val="00244A1D"/>
    <w:rsid w:val="00245854"/>
    <w:rsid w:val="00247DAA"/>
    <w:rsid w:val="002508C8"/>
    <w:rsid w:val="00254975"/>
    <w:rsid w:val="002553B4"/>
    <w:rsid w:val="00257F50"/>
    <w:rsid w:val="00262DEB"/>
    <w:rsid w:val="00266E3C"/>
    <w:rsid w:val="00270405"/>
    <w:rsid w:val="002776AE"/>
    <w:rsid w:val="00280904"/>
    <w:rsid w:val="002810AF"/>
    <w:rsid w:val="002816EE"/>
    <w:rsid w:val="00283DBC"/>
    <w:rsid w:val="002865A2"/>
    <w:rsid w:val="002925A5"/>
    <w:rsid w:val="00295A5D"/>
    <w:rsid w:val="00296074"/>
    <w:rsid w:val="002970A6"/>
    <w:rsid w:val="002A283C"/>
    <w:rsid w:val="002A50D8"/>
    <w:rsid w:val="002B0748"/>
    <w:rsid w:val="002B0805"/>
    <w:rsid w:val="002B21EB"/>
    <w:rsid w:val="002B3EEF"/>
    <w:rsid w:val="002B483E"/>
    <w:rsid w:val="002B6286"/>
    <w:rsid w:val="002B6923"/>
    <w:rsid w:val="002B74BE"/>
    <w:rsid w:val="002C23D1"/>
    <w:rsid w:val="002C3BB4"/>
    <w:rsid w:val="002D066C"/>
    <w:rsid w:val="002D0E37"/>
    <w:rsid w:val="002D2E4D"/>
    <w:rsid w:val="002D3CB1"/>
    <w:rsid w:val="002D50E2"/>
    <w:rsid w:val="002D581E"/>
    <w:rsid w:val="002E3389"/>
    <w:rsid w:val="002E3DAF"/>
    <w:rsid w:val="002E603E"/>
    <w:rsid w:val="002F23FB"/>
    <w:rsid w:val="002F2AF3"/>
    <w:rsid w:val="00300008"/>
    <w:rsid w:val="00303A9E"/>
    <w:rsid w:val="003065B2"/>
    <w:rsid w:val="00310777"/>
    <w:rsid w:val="00310A01"/>
    <w:rsid w:val="00311337"/>
    <w:rsid w:val="0031356C"/>
    <w:rsid w:val="00314B7D"/>
    <w:rsid w:val="003169DE"/>
    <w:rsid w:val="00320B9B"/>
    <w:rsid w:val="00320E89"/>
    <w:rsid w:val="003226FB"/>
    <w:rsid w:val="00322CBD"/>
    <w:rsid w:val="00326021"/>
    <w:rsid w:val="00331659"/>
    <w:rsid w:val="00331A42"/>
    <w:rsid w:val="0033405B"/>
    <w:rsid w:val="00334867"/>
    <w:rsid w:val="00334FE0"/>
    <w:rsid w:val="00335705"/>
    <w:rsid w:val="00336EDC"/>
    <w:rsid w:val="003423A3"/>
    <w:rsid w:val="0035058A"/>
    <w:rsid w:val="00351A89"/>
    <w:rsid w:val="0035318B"/>
    <w:rsid w:val="003545F2"/>
    <w:rsid w:val="003547CE"/>
    <w:rsid w:val="00354863"/>
    <w:rsid w:val="003572F6"/>
    <w:rsid w:val="00360E8A"/>
    <w:rsid w:val="00361DB2"/>
    <w:rsid w:val="003637E2"/>
    <w:rsid w:val="0036414C"/>
    <w:rsid w:val="0036667E"/>
    <w:rsid w:val="00366B1C"/>
    <w:rsid w:val="003703C8"/>
    <w:rsid w:val="00374682"/>
    <w:rsid w:val="0038519A"/>
    <w:rsid w:val="0038613F"/>
    <w:rsid w:val="00387179"/>
    <w:rsid w:val="00387909"/>
    <w:rsid w:val="00387D37"/>
    <w:rsid w:val="00393080"/>
    <w:rsid w:val="00394144"/>
    <w:rsid w:val="00396A6A"/>
    <w:rsid w:val="00397703"/>
    <w:rsid w:val="003A3374"/>
    <w:rsid w:val="003A38B7"/>
    <w:rsid w:val="003A38CA"/>
    <w:rsid w:val="003B1620"/>
    <w:rsid w:val="003B1773"/>
    <w:rsid w:val="003B2140"/>
    <w:rsid w:val="003B2B12"/>
    <w:rsid w:val="003B3A34"/>
    <w:rsid w:val="003B4275"/>
    <w:rsid w:val="003B5912"/>
    <w:rsid w:val="003B691B"/>
    <w:rsid w:val="003C039F"/>
    <w:rsid w:val="003C11C3"/>
    <w:rsid w:val="003C1C59"/>
    <w:rsid w:val="003C2EF1"/>
    <w:rsid w:val="003C3129"/>
    <w:rsid w:val="003C347C"/>
    <w:rsid w:val="003C3B6C"/>
    <w:rsid w:val="003C5A28"/>
    <w:rsid w:val="003C661E"/>
    <w:rsid w:val="003D04D9"/>
    <w:rsid w:val="003D3DFA"/>
    <w:rsid w:val="003D46BD"/>
    <w:rsid w:val="003D7D2C"/>
    <w:rsid w:val="003E00FC"/>
    <w:rsid w:val="003E035C"/>
    <w:rsid w:val="003E0D06"/>
    <w:rsid w:val="003E1604"/>
    <w:rsid w:val="003E2E65"/>
    <w:rsid w:val="003E436F"/>
    <w:rsid w:val="003E776F"/>
    <w:rsid w:val="003E7E3D"/>
    <w:rsid w:val="003F043D"/>
    <w:rsid w:val="003F07B5"/>
    <w:rsid w:val="003F1D47"/>
    <w:rsid w:val="003F2099"/>
    <w:rsid w:val="003F24CD"/>
    <w:rsid w:val="003F3BC4"/>
    <w:rsid w:val="003F561F"/>
    <w:rsid w:val="00401FE1"/>
    <w:rsid w:val="00403B7A"/>
    <w:rsid w:val="00410D69"/>
    <w:rsid w:val="00413028"/>
    <w:rsid w:val="00413720"/>
    <w:rsid w:val="0041608C"/>
    <w:rsid w:val="004161B4"/>
    <w:rsid w:val="00416996"/>
    <w:rsid w:val="00422CF7"/>
    <w:rsid w:val="00422DE3"/>
    <w:rsid w:val="00423BFF"/>
    <w:rsid w:val="00426D21"/>
    <w:rsid w:val="00430976"/>
    <w:rsid w:val="00430A1A"/>
    <w:rsid w:val="00430EF6"/>
    <w:rsid w:val="004317DD"/>
    <w:rsid w:val="004322E2"/>
    <w:rsid w:val="00432A50"/>
    <w:rsid w:val="00433853"/>
    <w:rsid w:val="00435C83"/>
    <w:rsid w:val="004369CE"/>
    <w:rsid w:val="00437F96"/>
    <w:rsid w:val="00442349"/>
    <w:rsid w:val="00442B6D"/>
    <w:rsid w:val="00450507"/>
    <w:rsid w:val="0045654A"/>
    <w:rsid w:val="00456621"/>
    <w:rsid w:val="0046036E"/>
    <w:rsid w:val="004607ED"/>
    <w:rsid w:val="0046127F"/>
    <w:rsid w:val="00462F5A"/>
    <w:rsid w:val="00463143"/>
    <w:rsid w:val="004631C5"/>
    <w:rsid w:val="004721AB"/>
    <w:rsid w:val="00472822"/>
    <w:rsid w:val="004746EB"/>
    <w:rsid w:val="00474E1C"/>
    <w:rsid w:val="00482B0C"/>
    <w:rsid w:val="00484F31"/>
    <w:rsid w:val="004858F4"/>
    <w:rsid w:val="00485A05"/>
    <w:rsid w:val="00486FE0"/>
    <w:rsid w:val="004922B8"/>
    <w:rsid w:val="00492C2A"/>
    <w:rsid w:val="004A3782"/>
    <w:rsid w:val="004A536E"/>
    <w:rsid w:val="004A5822"/>
    <w:rsid w:val="004A5BB3"/>
    <w:rsid w:val="004B17F8"/>
    <w:rsid w:val="004B2045"/>
    <w:rsid w:val="004B2449"/>
    <w:rsid w:val="004B24F7"/>
    <w:rsid w:val="004B2A08"/>
    <w:rsid w:val="004B414B"/>
    <w:rsid w:val="004B5141"/>
    <w:rsid w:val="004B6D59"/>
    <w:rsid w:val="004B7A16"/>
    <w:rsid w:val="004C072F"/>
    <w:rsid w:val="004C2870"/>
    <w:rsid w:val="004C4ED4"/>
    <w:rsid w:val="004D04BE"/>
    <w:rsid w:val="004D5761"/>
    <w:rsid w:val="004E05C2"/>
    <w:rsid w:val="004E1EDD"/>
    <w:rsid w:val="004E2AEE"/>
    <w:rsid w:val="004E31C5"/>
    <w:rsid w:val="004E34AA"/>
    <w:rsid w:val="004E5064"/>
    <w:rsid w:val="004E5F28"/>
    <w:rsid w:val="004F11AC"/>
    <w:rsid w:val="004F28FE"/>
    <w:rsid w:val="00502A0D"/>
    <w:rsid w:val="00503996"/>
    <w:rsid w:val="00507334"/>
    <w:rsid w:val="005100BC"/>
    <w:rsid w:val="0051052E"/>
    <w:rsid w:val="00512DE4"/>
    <w:rsid w:val="00516A68"/>
    <w:rsid w:val="005172D3"/>
    <w:rsid w:val="00522FAC"/>
    <w:rsid w:val="00525CF3"/>
    <w:rsid w:val="00526E65"/>
    <w:rsid w:val="00527A54"/>
    <w:rsid w:val="00530092"/>
    <w:rsid w:val="005317FE"/>
    <w:rsid w:val="00531E92"/>
    <w:rsid w:val="005346E9"/>
    <w:rsid w:val="00536B1A"/>
    <w:rsid w:val="0054153F"/>
    <w:rsid w:val="00543EAC"/>
    <w:rsid w:val="00544D65"/>
    <w:rsid w:val="00545094"/>
    <w:rsid w:val="00546F5F"/>
    <w:rsid w:val="00553BFA"/>
    <w:rsid w:val="005572AF"/>
    <w:rsid w:val="0056020A"/>
    <w:rsid w:val="00561C58"/>
    <w:rsid w:val="00563E16"/>
    <w:rsid w:val="0056456F"/>
    <w:rsid w:val="00566343"/>
    <w:rsid w:val="00567425"/>
    <w:rsid w:val="00570832"/>
    <w:rsid w:val="00572EE9"/>
    <w:rsid w:val="00573776"/>
    <w:rsid w:val="0057442F"/>
    <w:rsid w:val="00574A14"/>
    <w:rsid w:val="00574DD3"/>
    <w:rsid w:val="0057623F"/>
    <w:rsid w:val="00576DB2"/>
    <w:rsid w:val="00587206"/>
    <w:rsid w:val="0059300D"/>
    <w:rsid w:val="005946C8"/>
    <w:rsid w:val="005946CB"/>
    <w:rsid w:val="00595EEF"/>
    <w:rsid w:val="00596E70"/>
    <w:rsid w:val="005A097B"/>
    <w:rsid w:val="005A200F"/>
    <w:rsid w:val="005A26E5"/>
    <w:rsid w:val="005A4065"/>
    <w:rsid w:val="005A472B"/>
    <w:rsid w:val="005A56BC"/>
    <w:rsid w:val="005A6396"/>
    <w:rsid w:val="005B11E3"/>
    <w:rsid w:val="005B6B1F"/>
    <w:rsid w:val="005B7834"/>
    <w:rsid w:val="005B7886"/>
    <w:rsid w:val="005C096F"/>
    <w:rsid w:val="005C29FF"/>
    <w:rsid w:val="005C31F8"/>
    <w:rsid w:val="005C3B6B"/>
    <w:rsid w:val="005C3D57"/>
    <w:rsid w:val="005D01D3"/>
    <w:rsid w:val="005D1BE5"/>
    <w:rsid w:val="005D1CF1"/>
    <w:rsid w:val="005D230D"/>
    <w:rsid w:val="005D250D"/>
    <w:rsid w:val="005D2522"/>
    <w:rsid w:val="005D2971"/>
    <w:rsid w:val="005D29A2"/>
    <w:rsid w:val="005D2CF1"/>
    <w:rsid w:val="005D3CA1"/>
    <w:rsid w:val="005D655D"/>
    <w:rsid w:val="005D7C3E"/>
    <w:rsid w:val="005E1E9E"/>
    <w:rsid w:val="005E334E"/>
    <w:rsid w:val="005E36C1"/>
    <w:rsid w:val="005E3BA0"/>
    <w:rsid w:val="005E3E66"/>
    <w:rsid w:val="005E5837"/>
    <w:rsid w:val="005E74A5"/>
    <w:rsid w:val="005E7EA1"/>
    <w:rsid w:val="005F068F"/>
    <w:rsid w:val="005F0C31"/>
    <w:rsid w:val="005F0CC9"/>
    <w:rsid w:val="005F1205"/>
    <w:rsid w:val="005F1309"/>
    <w:rsid w:val="005F146E"/>
    <w:rsid w:val="005F218D"/>
    <w:rsid w:val="005F3314"/>
    <w:rsid w:val="005F4EF6"/>
    <w:rsid w:val="005F7B42"/>
    <w:rsid w:val="00602808"/>
    <w:rsid w:val="00610239"/>
    <w:rsid w:val="00612F30"/>
    <w:rsid w:val="006137A0"/>
    <w:rsid w:val="00613981"/>
    <w:rsid w:val="00614185"/>
    <w:rsid w:val="00616DE1"/>
    <w:rsid w:val="006177A5"/>
    <w:rsid w:val="00621268"/>
    <w:rsid w:val="00621A0E"/>
    <w:rsid w:val="00622A9E"/>
    <w:rsid w:val="006234A3"/>
    <w:rsid w:val="00623C6B"/>
    <w:rsid w:val="00623E43"/>
    <w:rsid w:val="00624D13"/>
    <w:rsid w:val="0062728A"/>
    <w:rsid w:val="00632E2D"/>
    <w:rsid w:val="00633325"/>
    <w:rsid w:val="006336AC"/>
    <w:rsid w:val="00633A05"/>
    <w:rsid w:val="006350C2"/>
    <w:rsid w:val="006362FB"/>
    <w:rsid w:val="006365FC"/>
    <w:rsid w:val="006369C3"/>
    <w:rsid w:val="00644D48"/>
    <w:rsid w:val="00645B94"/>
    <w:rsid w:val="00647BFD"/>
    <w:rsid w:val="00650CED"/>
    <w:rsid w:val="00651C6E"/>
    <w:rsid w:val="006527F0"/>
    <w:rsid w:val="006539AF"/>
    <w:rsid w:val="00656E81"/>
    <w:rsid w:val="00660B8A"/>
    <w:rsid w:val="00661B18"/>
    <w:rsid w:val="006626D6"/>
    <w:rsid w:val="00663AE0"/>
    <w:rsid w:val="00664558"/>
    <w:rsid w:val="00664803"/>
    <w:rsid w:val="00664A22"/>
    <w:rsid w:val="006660DD"/>
    <w:rsid w:val="006669CF"/>
    <w:rsid w:val="00667734"/>
    <w:rsid w:val="00670C39"/>
    <w:rsid w:val="0067410D"/>
    <w:rsid w:val="00677330"/>
    <w:rsid w:val="006775DC"/>
    <w:rsid w:val="00677B5F"/>
    <w:rsid w:val="00681557"/>
    <w:rsid w:val="00682A9A"/>
    <w:rsid w:val="006848F0"/>
    <w:rsid w:val="00690320"/>
    <w:rsid w:val="006917B8"/>
    <w:rsid w:val="0069236E"/>
    <w:rsid w:val="006923FC"/>
    <w:rsid w:val="006926B0"/>
    <w:rsid w:val="00694CF8"/>
    <w:rsid w:val="006962A9"/>
    <w:rsid w:val="00697A2E"/>
    <w:rsid w:val="00697FA5"/>
    <w:rsid w:val="006A0C6A"/>
    <w:rsid w:val="006A195E"/>
    <w:rsid w:val="006A545E"/>
    <w:rsid w:val="006B0074"/>
    <w:rsid w:val="006B015A"/>
    <w:rsid w:val="006B1239"/>
    <w:rsid w:val="006B3E90"/>
    <w:rsid w:val="006B48E3"/>
    <w:rsid w:val="006C7067"/>
    <w:rsid w:val="006D13B1"/>
    <w:rsid w:val="006D2756"/>
    <w:rsid w:val="006D30B1"/>
    <w:rsid w:val="006D6FDB"/>
    <w:rsid w:val="006E486A"/>
    <w:rsid w:val="006E79A0"/>
    <w:rsid w:val="006F0C02"/>
    <w:rsid w:val="006F242F"/>
    <w:rsid w:val="006F29AE"/>
    <w:rsid w:val="006F420B"/>
    <w:rsid w:val="006F4FCD"/>
    <w:rsid w:val="006F772F"/>
    <w:rsid w:val="0070192E"/>
    <w:rsid w:val="00702F50"/>
    <w:rsid w:val="00704258"/>
    <w:rsid w:val="00704601"/>
    <w:rsid w:val="0071002D"/>
    <w:rsid w:val="0071262C"/>
    <w:rsid w:val="00713107"/>
    <w:rsid w:val="007136A8"/>
    <w:rsid w:val="00714943"/>
    <w:rsid w:val="00714A40"/>
    <w:rsid w:val="00717908"/>
    <w:rsid w:val="0072398C"/>
    <w:rsid w:val="00724937"/>
    <w:rsid w:val="007269A8"/>
    <w:rsid w:val="00726DD5"/>
    <w:rsid w:val="00727D52"/>
    <w:rsid w:val="007318F3"/>
    <w:rsid w:val="00733FCD"/>
    <w:rsid w:val="00735F7E"/>
    <w:rsid w:val="00737345"/>
    <w:rsid w:val="007374A0"/>
    <w:rsid w:val="00740B14"/>
    <w:rsid w:val="00741BE9"/>
    <w:rsid w:val="007426D8"/>
    <w:rsid w:val="007458D6"/>
    <w:rsid w:val="00746403"/>
    <w:rsid w:val="007502A6"/>
    <w:rsid w:val="007515FB"/>
    <w:rsid w:val="007567BF"/>
    <w:rsid w:val="007635BC"/>
    <w:rsid w:val="0076516E"/>
    <w:rsid w:val="00765BA2"/>
    <w:rsid w:val="0077069E"/>
    <w:rsid w:val="00774EE9"/>
    <w:rsid w:val="00775F2F"/>
    <w:rsid w:val="007874FB"/>
    <w:rsid w:val="00787E4D"/>
    <w:rsid w:val="00790E76"/>
    <w:rsid w:val="00792FEC"/>
    <w:rsid w:val="00793CC9"/>
    <w:rsid w:val="007956A3"/>
    <w:rsid w:val="007A3F2D"/>
    <w:rsid w:val="007A494B"/>
    <w:rsid w:val="007A527B"/>
    <w:rsid w:val="007A6630"/>
    <w:rsid w:val="007A7429"/>
    <w:rsid w:val="007B1521"/>
    <w:rsid w:val="007B1F9E"/>
    <w:rsid w:val="007B22AC"/>
    <w:rsid w:val="007B2365"/>
    <w:rsid w:val="007B2E32"/>
    <w:rsid w:val="007B31DC"/>
    <w:rsid w:val="007B3315"/>
    <w:rsid w:val="007B3DA1"/>
    <w:rsid w:val="007B6B7B"/>
    <w:rsid w:val="007C2486"/>
    <w:rsid w:val="007C2E8D"/>
    <w:rsid w:val="007C370D"/>
    <w:rsid w:val="007D292C"/>
    <w:rsid w:val="007D50AB"/>
    <w:rsid w:val="007D52FA"/>
    <w:rsid w:val="007D6A25"/>
    <w:rsid w:val="007D726C"/>
    <w:rsid w:val="007E75B5"/>
    <w:rsid w:val="007F071D"/>
    <w:rsid w:val="007F2B20"/>
    <w:rsid w:val="007F37B9"/>
    <w:rsid w:val="007F6118"/>
    <w:rsid w:val="0080120E"/>
    <w:rsid w:val="008027BE"/>
    <w:rsid w:val="00802A79"/>
    <w:rsid w:val="00803896"/>
    <w:rsid w:val="008104B9"/>
    <w:rsid w:val="00815131"/>
    <w:rsid w:val="0081717C"/>
    <w:rsid w:val="00820235"/>
    <w:rsid w:val="0083474C"/>
    <w:rsid w:val="00834B09"/>
    <w:rsid w:val="00835971"/>
    <w:rsid w:val="0083784E"/>
    <w:rsid w:val="00840251"/>
    <w:rsid w:val="00843D85"/>
    <w:rsid w:val="0084503B"/>
    <w:rsid w:val="00845BC0"/>
    <w:rsid w:val="008476CA"/>
    <w:rsid w:val="00852E92"/>
    <w:rsid w:val="00855BBF"/>
    <w:rsid w:val="00856078"/>
    <w:rsid w:val="008609C0"/>
    <w:rsid w:val="00862CF0"/>
    <w:rsid w:val="00863C73"/>
    <w:rsid w:val="0086481E"/>
    <w:rsid w:val="008659E0"/>
    <w:rsid w:val="0086603B"/>
    <w:rsid w:val="00871A85"/>
    <w:rsid w:val="00871E40"/>
    <w:rsid w:val="00872B0B"/>
    <w:rsid w:val="0087425C"/>
    <w:rsid w:val="00875D75"/>
    <w:rsid w:val="008809E3"/>
    <w:rsid w:val="00880A10"/>
    <w:rsid w:val="00881A30"/>
    <w:rsid w:val="008859B5"/>
    <w:rsid w:val="00885AFC"/>
    <w:rsid w:val="008924A2"/>
    <w:rsid w:val="00893637"/>
    <w:rsid w:val="00896834"/>
    <w:rsid w:val="00896B95"/>
    <w:rsid w:val="008A01A5"/>
    <w:rsid w:val="008B1767"/>
    <w:rsid w:val="008B1A97"/>
    <w:rsid w:val="008B36B0"/>
    <w:rsid w:val="008B655E"/>
    <w:rsid w:val="008C32C2"/>
    <w:rsid w:val="008C397D"/>
    <w:rsid w:val="008C3BF7"/>
    <w:rsid w:val="008C5AB9"/>
    <w:rsid w:val="008C5F2C"/>
    <w:rsid w:val="008D4008"/>
    <w:rsid w:val="008E0C7C"/>
    <w:rsid w:val="008E1C3F"/>
    <w:rsid w:val="008E2AA0"/>
    <w:rsid w:val="008E367A"/>
    <w:rsid w:val="008E7066"/>
    <w:rsid w:val="008E7421"/>
    <w:rsid w:val="008F0ABA"/>
    <w:rsid w:val="008F1837"/>
    <w:rsid w:val="008F2014"/>
    <w:rsid w:val="008F29DA"/>
    <w:rsid w:val="008F3C55"/>
    <w:rsid w:val="008F4A1E"/>
    <w:rsid w:val="008F5CBB"/>
    <w:rsid w:val="008F63A8"/>
    <w:rsid w:val="008F7071"/>
    <w:rsid w:val="00901561"/>
    <w:rsid w:val="00903CDF"/>
    <w:rsid w:val="009043A4"/>
    <w:rsid w:val="009056F9"/>
    <w:rsid w:val="00905F09"/>
    <w:rsid w:val="00907CC9"/>
    <w:rsid w:val="00910AE1"/>
    <w:rsid w:val="00913086"/>
    <w:rsid w:val="00913C45"/>
    <w:rsid w:val="00915B4C"/>
    <w:rsid w:val="0092176A"/>
    <w:rsid w:val="00924E11"/>
    <w:rsid w:val="00924EBB"/>
    <w:rsid w:val="009275E2"/>
    <w:rsid w:val="00927FA4"/>
    <w:rsid w:val="0093145A"/>
    <w:rsid w:val="0093439B"/>
    <w:rsid w:val="009343B3"/>
    <w:rsid w:val="00934A34"/>
    <w:rsid w:val="009352C8"/>
    <w:rsid w:val="009357D3"/>
    <w:rsid w:val="009367AD"/>
    <w:rsid w:val="00941BB1"/>
    <w:rsid w:val="00941FAA"/>
    <w:rsid w:val="009429DF"/>
    <w:rsid w:val="009463F8"/>
    <w:rsid w:val="00946816"/>
    <w:rsid w:val="00946A2C"/>
    <w:rsid w:val="0095002B"/>
    <w:rsid w:val="00950502"/>
    <w:rsid w:val="009522F7"/>
    <w:rsid w:val="0095592F"/>
    <w:rsid w:val="00955EE4"/>
    <w:rsid w:val="009562BC"/>
    <w:rsid w:val="00956377"/>
    <w:rsid w:val="00957A8C"/>
    <w:rsid w:val="00957F9F"/>
    <w:rsid w:val="00962897"/>
    <w:rsid w:val="0096598C"/>
    <w:rsid w:val="00966F1C"/>
    <w:rsid w:val="009708A1"/>
    <w:rsid w:val="00971069"/>
    <w:rsid w:val="00972809"/>
    <w:rsid w:val="00973AF9"/>
    <w:rsid w:val="0097440A"/>
    <w:rsid w:val="0097509C"/>
    <w:rsid w:val="00980192"/>
    <w:rsid w:val="00980985"/>
    <w:rsid w:val="009810F2"/>
    <w:rsid w:val="00982669"/>
    <w:rsid w:val="009845F4"/>
    <w:rsid w:val="00985A2D"/>
    <w:rsid w:val="00990838"/>
    <w:rsid w:val="00993B2C"/>
    <w:rsid w:val="00993C24"/>
    <w:rsid w:val="009A28F4"/>
    <w:rsid w:val="009A308D"/>
    <w:rsid w:val="009A3436"/>
    <w:rsid w:val="009A6D67"/>
    <w:rsid w:val="009B0049"/>
    <w:rsid w:val="009B0438"/>
    <w:rsid w:val="009B0AC5"/>
    <w:rsid w:val="009B18CF"/>
    <w:rsid w:val="009B48CB"/>
    <w:rsid w:val="009B7A8C"/>
    <w:rsid w:val="009C1ABC"/>
    <w:rsid w:val="009C703F"/>
    <w:rsid w:val="009D3CB0"/>
    <w:rsid w:val="009D57AA"/>
    <w:rsid w:val="009D61EF"/>
    <w:rsid w:val="009E1FFA"/>
    <w:rsid w:val="009E39C4"/>
    <w:rsid w:val="009E4E15"/>
    <w:rsid w:val="009E5606"/>
    <w:rsid w:val="009E68EF"/>
    <w:rsid w:val="009F013A"/>
    <w:rsid w:val="009F0DA2"/>
    <w:rsid w:val="009F0EFD"/>
    <w:rsid w:val="009F13D7"/>
    <w:rsid w:val="009F30AB"/>
    <w:rsid w:val="009F4078"/>
    <w:rsid w:val="009F5046"/>
    <w:rsid w:val="00A001A1"/>
    <w:rsid w:val="00A00A2E"/>
    <w:rsid w:val="00A01E31"/>
    <w:rsid w:val="00A026D0"/>
    <w:rsid w:val="00A02E85"/>
    <w:rsid w:val="00A042B9"/>
    <w:rsid w:val="00A05FCF"/>
    <w:rsid w:val="00A068C2"/>
    <w:rsid w:val="00A1045A"/>
    <w:rsid w:val="00A10B0F"/>
    <w:rsid w:val="00A16083"/>
    <w:rsid w:val="00A16AAC"/>
    <w:rsid w:val="00A16C6F"/>
    <w:rsid w:val="00A201F8"/>
    <w:rsid w:val="00A232A5"/>
    <w:rsid w:val="00A23F71"/>
    <w:rsid w:val="00A248C1"/>
    <w:rsid w:val="00A26C83"/>
    <w:rsid w:val="00A3063D"/>
    <w:rsid w:val="00A3199D"/>
    <w:rsid w:val="00A3487C"/>
    <w:rsid w:val="00A358ED"/>
    <w:rsid w:val="00A4069E"/>
    <w:rsid w:val="00A40EA7"/>
    <w:rsid w:val="00A41712"/>
    <w:rsid w:val="00A41F7B"/>
    <w:rsid w:val="00A4238F"/>
    <w:rsid w:val="00A42B67"/>
    <w:rsid w:val="00A42F56"/>
    <w:rsid w:val="00A43F6D"/>
    <w:rsid w:val="00A45F44"/>
    <w:rsid w:val="00A474F6"/>
    <w:rsid w:val="00A47A5F"/>
    <w:rsid w:val="00A506E5"/>
    <w:rsid w:val="00A541A6"/>
    <w:rsid w:val="00A57D9F"/>
    <w:rsid w:val="00A60FE2"/>
    <w:rsid w:val="00A61869"/>
    <w:rsid w:val="00A6339E"/>
    <w:rsid w:val="00A634F8"/>
    <w:rsid w:val="00A64349"/>
    <w:rsid w:val="00A64817"/>
    <w:rsid w:val="00A7025F"/>
    <w:rsid w:val="00A70467"/>
    <w:rsid w:val="00A717A5"/>
    <w:rsid w:val="00A73306"/>
    <w:rsid w:val="00A75ACF"/>
    <w:rsid w:val="00A7792D"/>
    <w:rsid w:val="00A81C3E"/>
    <w:rsid w:val="00A82BD4"/>
    <w:rsid w:val="00A82E55"/>
    <w:rsid w:val="00A85BA9"/>
    <w:rsid w:val="00A866F1"/>
    <w:rsid w:val="00A91411"/>
    <w:rsid w:val="00A92EDF"/>
    <w:rsid w:val="00A93F1B"/>
    <w:rsid w:val="00A95CFA"/>
    <w:rsid w:val="00A97520"/>
    <w:rsid w:val="00AA0FFE"/>
    <w:rsid w:val="00AA14C9"/>
    <w:rsid w:val="00AA25DD"/>
    <w:rsid w:val="00AA27F3"/>
    <w:rsid w:val="00AA3EF8"/>
    <w:rsid w:val="00AA4AD1"/>
    <w:rsid w:val="00AB252A"/>
    <w:rsid w:val="00AB25C3"/>
    <w:rsid w:val="00AB4C76"/>
    <w:rsid w:val="00AB7B69"/>
    <w:rsid w:val="00AC0E63"/>
    <w:rsid w:val="00AC10CB"/>
    <w:rsid w:val="00AC2242"/>
    <w:rsid w:val="00AC4F68"/>
    <w:rsid w:val="00AC57A8"/>
    <w:rsid w:val="00AC6CC8"/>
    <w:rsid w:val="00AC7AD3"/>
    <w:rsid w:val="00AD079A"/>
    <w:rsid w:val="00AD1197"/>
    <w:rsid w:val="00AE0288"/>
    <w:rsid w:val="00AF0899"/>
    <w:rsid w:val="00AF1DCE"/>
    <w:rsid w:val="00AF2921"/>
    <w:rsid w:val="00AF5A92"/>
    <w:rsid w:val="00AF71CB"/>
    <w:rsid w:val="00B01457"/>
    <w:rsid w:val="00B02640"/>
    <w:rsid w:val="00B05548"/>
    <w:rsid w:val="00B0572B"/>
    <w:rsid w:val="00B05734"/>
    <w:rsid w:val="00B06433"/>
    <w:rsid w:val="00B06958"/>
    <w:rsid w:val="00B07416"/>
    <w:rsid w:val="00B07E8C"/>
    <w:rsid w:val="00B10A09"/>
    <w:rsid w:val="00B14007"/>
    <w:rsid w:val="00B15773"/>
    <w:rsid w:val="00B20026"/>
    <w:rsid w:val="00B2156E"/>
    <w:rsid w:val="00B2580E"/>
    <w:rsid w:val="00B25B38"/>
    <w:rsid w:val="00B26C1C"/>
    <w:rsid w:val="00B333DC"/>
    <w:rsid w:val="00B347A1"/>
    <w:rsid w:val="00B34FAA"/>
    <w:rsid w:val="00B41889"/>
    <w:rsid w:val="00B429FE"/>
    <w:rsid w:val="00B42DCB"/>
    <w:rsid w:val="00B45C4A"/>
    <w:rsid w:val="00B517AD"/>
    <w:rsid w:val="00B6252C"/>
    <w:rsid w:val="00B64039"/>
    <w:rsid w:val="00B64C36"/>
    <w:rsid w:val="00B659D2"/>
    <w:rsid w:val="00B65EAA"/>
    <w:rsid w:val="00B666C1"/>
    <w:rsid w:val="00B67507"/>
    <w:rsid w:val="00B70423"/>
    <w:rsid w:val="00B70523"/>
    <w:rsid w:val="00B77C3D"/>
    <w:rsid w:val="00B81634"/>
    <w:rsid w:val="00B81A71"/>
    <w:rsid w:val="00B821F3"/>
    <w:rsid w:val="00B82A9E"/>
    <w:rsid w:val="00B842B5"/>
    <w:rsid w:val="00B91913"/>
    <w:rsid w:val="00B9221E"/>
    <w:rsid w:val="00B923D6"/>
    <w:rsid w:val="00B92A51"/>
    <w:rsid w:val="00B93B03"/>
    <w:rsid w:val="00B94332"/>
    <w:rsid w:val="00B954A8"/>
    <w:rsid w:val="00BA1AB5"/>
    <w:rsid w:val="00BA6EB5"/>
    <w:rsid w:val="00BB146E"/>
    <w:rsid w:val="00BB18D8"/>
    <w:rsid w:val="00BB1ADC"/>
    <w:rsid w:val="00BB1E63"/>
    <w:rsid w:val="00BB220B"/>
    <w:rsid w:val="00BB471D"/>
    <w:rsid w:val="00BB644F"/>
    <w:rsid w:val="00BB692F"/>
    <w:rsid w:val="00BB7F93"/>
    <w:rsid w:val="00BC498F"/>
    <w:rsid w:val="00BC4E53"/>
    <w:rsid w:val="00BC6270"/>
    <w:rsid w:val="00BD07DD"/>
    <w:rsid w:val="00BD0E8B"/>
    <w:rsid w:val="00BD10C7"/>
    <w:rsid w:val="00BD117C"/>
    <w:rsid w:val="00BD1D50"/>
    <w:rsid w:val="00BD1E21"/>
    <w:rsid w:val="00BD4651"/>
    <w:rsid w:val="00BD5283"/>
    <w:rsid w:val="00BD748B"/>
    <w:rsid w:val="00BD768E"/>
    <w:rsid w:val="00BE49A8"/>
    <w:rsid w:val="00BE6872"/>
    <w:rsid w:val="00BE70CE"/>
    <w:rsid w:val="00BE7AAE"/>
    <w:rsid w:val="00BF13F3"/>
    <w:rsid w:val="00BF2083"/>
    <w:rsid w:val="00BF30D5"/>
    <w:rsid w:val="00BF3DF4"/>
    <w:rsid w:val="00C00307"/>
    <w:rsid w:val="00C00628"/>
    <w:rsid w:val="00C0382E"/>
    <w:rsid w:val="00C0428B"/>
    <w:rsid w:val="00C04EC5"/>
    <w:rsid w:val="00C050E3"/>
    <w:rsid w:val="00C057DE"/>
    <w:rsid w:val="00C1123D"/>
    <w:rsid w:val="00C15F9B"/>
    <w:rsid w:val="00C1665D"/>
    <w:rsid w:val="00C2100F"/>
    <w:rsid w:val="00C22469"/>
    <w:rsid w:val="00C22631"/>
    <w:rsid w:val="00C22686"/>
    <w:rsid w:val="00C22EF0"/>
    <w:rsid w:val="00C2393F"/>
    <w:rsid w:val="00C246BA"/>
    <w:rsid w:val="00C24CC2"/>
    <w:rsid w:val="00C25645"/>
    <w:rsid w:val="00C306B9"/>
    <w:rsid w:val="00C31B14"/>
    <w:rsid w:val="00C4016B"/>
    <w:rsid w:val="00C41E93"/>
    <w:rsid w:val="00C43231"/>
    <w:rsid w:val="00C461FA"/>
    <w:rsid w:val="00C46449"/>
    <w:rsid w:val="00C50C94"/>
    <w:rsid w:val="00C51A18"/>
    <w:rsid w:val="00C52FBB"/>
    <w:rsid w:val="00C55955"/>
    <w:rsid w:val="00C55D37"/>
    <w:rsid w:val="00C55F4E"/>
    <w:rsid w:val="00C57F33"/>
    <w:rsid w:val="00C64846"/>
    <w:rsid w:val="00C70B0F"/>
    <w:rsid w:val="00C716CE"/>
    <w:rsid w:val="00C72170"/>
    <w:rsid w:val="00C73C17"/>
    <w:rsid w:val="00C74E65"/>
    <w:rsid w:val="00C76053"/>
    <w:rsid w:val="00C8069F"/>
    <w:rsid w:val="00C82DAB"/>
    <w:rsid w:val="00C851EA"/>
    <w:rsid w:val="00C85200"/>
    <w:rsid w:val="00C85B20"/>
    <w:rsid w:val="00C860DE"/>
    <w:rsid w:val="00C87F65"/>
    <w:rsid w:val="00C9173B"/>
    <w:rsid w:val="00C917CD"/>
    <w:rsid w:val="00C96450"/>
    <w:rsid w:val="00CA04D8"/>
    <w:rsid w:val="00CA0F2A"/>
    <w:rsid w:val="00CA1DEE"/>
    <w:rsid w:val="00CA3300"/>
    <w:rsid w:val="00CA4842"/>
    <w:rsid w:val="00CA488D"/>
    <w:rsid w:val="00CA51BA"/>
    <w:rsid w:val="00CA55A8"/>
    <w:rsid w:val="00CA5DC7"/>
    <w:rsid w:val="00CA6599"/>
    <w:rsid w:val="00CA68B3"/>
    <w:rsid w:val="00CA73DA"/>
    <w:rsid w:val="00CA7640"/>
    <w:rsid w:val="00CB08A2"/>
    <w:rsid w:val="00CB2D67"/>
    <w:rsid w:val="00CB62E9"/>
    <w:rsid w:val="00CC2A3A"/>
    <w:rsid w:val="00CC39BD"/>
    <w:rsid w:val="00CC4930"/>
    <w:rsid w:val="00CC4A9D"/>
    <w:rsid w:val="00CC5E3C"/>
    <w:rsid w:val="00CC77CC"/>
    <w:rsid w:val="00CD1E5C"/>
    <w:rsid w:val="00CD2D4F"/>
    <w:rsid w:val="00CD53AA"/>
    <w:rsid w:val="00CE1DE2"/>
    <w:rsid w:val="00CE40BB"/>
    <w:rsid w:val="00CE424B"/>
    <w:rsid w:val="00CE5991"/>
    <w:rsid w:val="00CF06D8"/>
    <w:rsid w:val="00CF151F"/>
    <w:rsid w:val="00CF28C7"/>
    <w:rsid w:val="00CF2DFB"/>
    <w:rsid w:val="00CF79FB"/>
    <w:rsid w:val="00D02EDD"/>
    <w:rsid w:val="00D03E33"/>
    <w:rsid w:val="00D07603"/>
    <w:rsid w:val="00D07BCD"/>
    <w:rsid w:val="00D116FB"/>
    <w:rsid w:val="00D13939"/>
    <w:rsid w:val="00D13E17"/>
    <w:rsid w:val="00D14759"/>
    <w:rsid w:val="00D157DD"/>
    <w:rsid w:val="00D205F6"/>
    <w:rsid w:val="00D25F61"/>
    <w:rsid w:val="00D2668D"/>
    <w:rsid w:val="00D27208"/>
    <w:rsid w:val="00D27E1D"/>
    <w:rsid w:val="00D3006E"/>
    <w:rsid w:val="00D31658"/>
    <w:rsid w:val="00D31C22"/>
    <w:rsid w:val="00D32F21"/>
    <w:rsid w:val="00D33B34"/>
    <w:rsid w:val="00D34B29"/>
    <w:rsid w:val="00D34C75"/>
    <w:rsid w:val="00D35DB1"/>
    <w:rsid w:val="00D40EAD"/>
    <w:rsid w:val="00D41B30"/>
    <w:rsid w:val="00D42513"/>
    <w:rsid w:val="00D4443C"/>
    <w:rsid w:val="00D45430"/>
    <w:rsid w:val="00D47191"/>
    <w:rsid w:val="00D51115"/>
    <w:rsid w:val="00D57CDE"/>
    <w:rsid w:val="00D604E1"/>
    <w:rsid w:val="00D60D7C"/>
    <w:rsid w:val="00D63021"/>
    <w:rsid w:val="00D630ED"/>
    <w:rsid w:val="00D65F47"/>
    <w:rsid w:val="00D700FC"/>
    <w:rsid w:val="00D7155D"/>
    <w:rsid w:val="00D74321"/>
    <w:rsid w:val="00D74855"/>
    <w:rsid w:val="00D75536"/>
    <w:rsid w:val="00D7626C"/>
    <w:rsid w:val="00D808C0"/>
    <w:rsid w:val="00D823F6"/>
    <w:rsid w:val="00D82C47"/>
    <w:rsid w:val="00D838DB"/>
    <w:rsid w:val="00D84F9D"/>
    <w:rsid w:val="00D85CDB"/>
    <w:rsid w:val="00D918DA"/>
    <w:rsid w:val="00D93444"/>
    <w:rsid w:val="00D95F7E"/>
    <w:rsid w:val="00D96169"/>
    <w:rsid w:val="00D96719"/>
    <w:rsid w:val="00DA0CB2"/>
    <w:rsid w:val="00DA1F25"/>
    <w:rsid w:val="00DA22BE"/>
    <w:rsid w:val="00DA40B8"/>
    <w:rsid w:val="00DA5BBD"/>
    <w:rsid w:val="00DA5BCE"/>
    <w:rsid w:val="00DA7D70"/>
    <w:rsid w:val="00DA7DA7"/>
    <w:rsid w:val="00DB004F"/>
    <w:rsid w:val="00DB052F"/>
    <w:rsid w:val="00DB7351"/>
    <w:rsid w:val="00DB7F86"/>
    <w:rsid w:val="00DC0CD9"/>
    <w:rsid w:val="00DC1C72"/>
    <w:rsid w:val="00DC2545"/>
    <w:rsid w:val="00DC5397"/>
    <w:rsid w:val="00DC6844"/>
    <w:rsid w:val="00DC7BD3"/>
    <w:rsid w:val="00DD0889"/>
    <w:rsid w:val="00DD3500"/>
    <w:rsid w:val="00DD3DAA"/>
    <w:rsid w:val="00DD46EE"/>
    <w:rsid w:val="00DD738A"/>
    <w:rsid w:val="00DE55C5"/>
    <w:rsid w:val="00DE6AC6"/>
    <w:rsid w:val="00DE714F"/>
    <w:rsid w:val="00DF4F8B"/>
    <w:rsid w:val="00DF5D4B"/>
    <w:rsid w:val="00DF682A"/>
    <w:rsid w:val="00E00039"/>
    <w:rsid w:val="00E044D2"/>
    <w:rsid w:val="00E06D98"/>
    <w:rsid w:val="00E072AD"/>
    <w:rsid w:val="00E100AC"/>
    <w:rsid w:val="00E1032E"/>
    <w:rsid w:val="00E123A8"/>
    <w:rsid w:val="00E13261"/>
    <w:rsid w:val="00E13588"/>
    <w:rsid w:val="00E1429A"/>
    <w:rsid w:val="00E144B5"/>
    <w:rsid w:val="00E1508F"/>
    <w:rsid w:val="00E15F6A"/>
    <w:rsid w:val="00E20CDA"/>
    <w:rsid w:val="00E25E93"/>
    <w:rsid w:val="00E2604A"/>
    <w:rsid w:val="00E2784B"/>
    <w:rsid w:val="00E27C05"/>
    <w:rsid w:val="00E3171C"/>
    <w:rsid w:val="00E33BE9"/>
    <w:rsid w:val="00E3451D"/>
    <w:rsid w:val="00E35751"/>
    <w:rsid w:val="00E41630"/>
    <w:rsid w:val="00E41817"/>
    <w:rsid w:val="00E42841"/>
    <w:rsid w:val="00E42C3E"/>
    <w:rsid w:val="00E457F1"/>
    <w:rsid w:val="00E47AE7"/>
    <w:rsid w:val="00E51A28"/>
    <w:rsid w:val="00E55FBF"/>
    <w:rsid w:val="00E56BB1"/>
    <w:rsid w:val="00E608FB"/>
    <w:rsid w:val="00E62FAB"/>
    <w:rsid w:val="00E63B8E"/>
    <w:rsid w:val="00E64CE0"/>
    <w:rsid w:val="00E66AD3"/>
    <w:rsid w:val="00E725E1"/>
    <w:rsid w:val="00E749D1"/>
    <w:rsid w:val="00E750CA"/>
    <w:rsid w:val="00E750FE"/>
    <w:rsid w:val="00E75DAB"/>
    <w:rsid w:val="00E76C48"/>
    <w:rsid w:val="00E77BAE"/>
    <w:rsid w:val="00E8176F"/>
    <w:rsid w:val="00E81F73"/>
    <w:rsid w:val="00E859FF"/>
    <w:rsid w:val="00E8609A"/>
    <w:rsid w:val="00E87390"/>
    <w:rsid w:val="00E9122F"/>
    <w:rsid w:val="00E91AE5"/>
    <w:rsid w:val="00E9733D"/>
    <w:rsid w:val="00EA18AD"/>
    <w:rsid w:val="00EA2F04"/>
    <w:rsid w:val="00EA316B"/>
    <w:rsid w:val="00EA4EC1"/>
    <w:rsid w:val="00EA4F50"/>
    <w:rsid w:val="00EA7BCC"/>
    <w:rsid w:val="00EA7E4B"/>
    <w:rsid w:val="00EB0C75"/>
    <w:rsid w:val="00EB1D0B"/>
    <w:rsid w:val="00EB1F35"/>
    <w:rsid w:val="00EB22B2"/>
    <w:rsid w:val="00EB4707"/>
    <w:rsid w:val="00EB4C6B"/>
    <w:rsid w:val="00EB6C7E"/>
    <w:rsid w:val="00EC44BD"/>
    <w:rsid w:val="00ED1CED"/>
    <w:rsid w:val="00ED3ACC"/>
    <w:rsid w:val="00ED56F8"/>
    <w:rsid w:val="00ED6875"/>
    <w:rsid w:val="00ED6F50"/>
    <w:rsid w:val="00EE33B1"/>
    <w:rsid w:val="00EE509A"/>
    <w:rsid w:val="00EE6A18"/>
    <w:rsid w:val="00EF2415"/>
    <w:rsid w:val="00EF2D2A"/>
    <w:rsid w:val="00EF3DA2"/>
    <w:rsid w:val="00EF45FB"/>
    <w:rsid w:val="00EF493B"/>
    <w:rsid w:val="00EF647B"/>
    <w:rsid w:val="00EF770E"/>
    <w:rsid w:val="00EF7F30"/>
    <w:rsid w:val="00F0084B"/>
    <w:rsid w:val="00F06F0B"/>
    <w:rsid w:val="00F071BB"/>
    <w:rsid w:val="00F10DBD"/>
    <w:rsid w:val="00F137BB"/>
    <w:rsid w:val="00F139B4"/>
    <w:rsid w:val="00F14B39"/>
    <w:rsid w:val="00F16606"/>
    <w:rsid w:val="00F16BF6"/>
    <w:rsid w:val="00F262BA"/>
    <w:rsid w:val="00F26CAF"/>
    <w:rsid w:val="00F272B2"/>
    <w:rsid w:val="00F27D98"/>
    <w:rsid w:val="00F305D7"/>
    <w:rsid w:val="00F30EB3"/>
    <w:rsid w:val="00F318FE"/>
    <w:rsid w:val="00F42027"/>
    <w:rsid w:val="00F45B4D"/>
    <w:rsid w:val="00F45F65"/>
    <w:rsid w:val="00F463A7"/>
    <w:rsid w:val="00F529AB"/>
    <w:rsid w:val="00F57A55"/>
    <w:rsid w:val="00F60F00"/>
    <w:rsid w:val="00F62006"/>
    <w:rsid w:val="00F640D7"/>
    <w:rsid w:val="00F6528F"/>
    <w:rsid w:val="00F66C72"/>
    <w:rsid w:val="00F66FFF"/>
    <w:rsid w:val="00F7060F"/>
    <w:rsid w:val="00F70F81"/>
    <w:rsid w:val="00F76D43"/>
    <w:rsid w:val="00F77319"/>
    <w:rsid w:val="00F77628"/>
    <w:rsid w:val="00F80BD5"/>
    <w:rsid w:val="00F80EE7"/>
    <w:rsid w:val="00F81B8F"/>
    <w:rsid w:val="00F83C45"/>
    <w:rsid w:val="00F83CA5"/>
    <w:rsid w:val="00F8414B"/>
    <w:rsid w:val="00F84379"/>
    <w:rsid w:val="00F85EC8"/>
    <w:rsid w:val="00F87324"/>
    <w:rsid w:val="00F95994"/>
    <w:rsid w:val="00F962AA"/>
    <w:rsid w:val="00F96607"/>
    <w:rsid w:val="00FA0B3D"/>
    <w:rsid w:val="00FA1D4C"/>
    <w:rsid w:val="00FA6C05"/>
    <w:rsid w:val="00FB28DA"/>
    <w:rsid w:val="00FB3ADF"/>
    <w:rsid w:val="00FB3F0D"/>
    <w:rsid w:val="00FB45E4"/>
    <w:rsid w:val="00FB4ABE"/>
    <w:rsid w:val="00FB78FB"/>
    <w:rsid w:val="00FB7D4B"/>
    <w:rsid w:val="00FC1973"/>
    <w:rsid w:val="00FC353C"/>
    <w:rsid w:val="00FC45EC"/>
    <w:rsid w:val="00FC5D35"/>
    <w:rsid w:val="00FC5F97"/>
    <w:rsid w:val="00FC7FC5"/>
    <w:rsid w:val="00FD16B1"/>
    <w:rsid w:val="00FD3140"/>
    <w:rsid w:val="00FD4FC3"/>
    <w:rsid w:val="00FD5E15"/>
    <w:rsid w:val="00FD6448"/>
    <w:rsid w:val="00FE416D"/>
    <w:rsid w:val="00FE5ED9"/>
    <w:rsid w:val="00FE602F"/>
    <w:rsid w:val="00FF1C05"/>
    <w:rsid w:val="00FF287E"/>
    <w:rsid w:val="00FF31BE"/>
    <w:rsid w:val="00FF6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CAE813F0-461C-4120-8580-7197889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6B03-D3E1-48FC-80E2-04EB158E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3615</Words>
  <Characters>19884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23453</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SFINANZAS</dc:creator>
  <cp:keywords/>
  <dc:description/>
  <cp:lastModifiedBy>Sandra.Mota</cp:lastModifiedBy>
  <cp:revision>31</cp:revision>
  <cp:lastPrinted>2017-08-11T18:38:00Z</cp:lastPrinted>
  <dcterms:created xsi:type="dcterms:W3CDTF">2017-10-20T17:38:00Z</dcterms:created>
  <dcterms:modified xsi:type="dcterms:W3CDTF">2017-10-20T19:48:00Z</dcterms:modified>
</cp:coreProperties>
</file>