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C5DC" w14:textId="77777777" w:rsidR="001D2986" w:rsidRDefault="001D2986" w:rsidP="001D2986">
      <w:pPr>
        <w:spacing w:after="240" w:line="260" w:lineRule="exact"/>
        <w:jc w:val="center"/>
        <w:rPr>
          <w:rFonts w:ascii="Arial" w:eastAsia="Arial" w:hAnsi="Arial" w:cs="Arial"/>
          <w:b/>
          <w:bCs/>
          <w:iCs/>
        </w:rPr>
      </w:pPr>
      <w:bookmarkStart w:id="0" w:name="_heading=h.gjdgxs" w:colFirst="0" w:colLast="0"/>
      <w:bookmarkEnd w:id="0"/>
      <w:r w:rsidRPr="001D2986">
        <w:rPr>
          <w:rFonts w:ascii="Arial" w:eastAsia="Arial" w:hAnsi="Arial" w:cs="Arial"/>
          <w:b/>
          <w:bCs/>
          <w:iCs/>
        </w:rPr>
        <w:t xml:space="preserve">Informe Ejecutivo de la </w:t>
      </w:r>
    </w:p>
    <w:p w14:paraId="134A1648" w14:textId="1616EBFE" w:rsidR="001D2986" w:rsidRPr="001D2986" w:rsidRDefault="001D2986" w:rsidP="001D2986">
      <w:pPr>
        <w:spacing w:after="240" w:line="260" w:lineRule="exact"/>
        <w:jc w:val="center"/>
        <w:rPr>
          <w:rFonts w:ascii="Arial" w:eastAsia="Arial" w:hAnsi="Arial" w:cs="Arial"/>
          <w:b/>
          <w:bCs/>
          <w:iCs/>
          <w:sz w:val="44"/>
          <w:szCs w:val="44"/>
        </w:rPr>
      </w:pPr>
      <w:r w:rsidRPr="001D2986">
        <w:rPr>
          <w:rFonts w:ascii="Arial" w:eastAsia="Arial" w:hAnsi="Arial" w:cs="Arial"/>
          <w:b/>
          <w:bCs/>
          <w:iCs/>
        </w:rPr>
        <w:t>Segunda Evaluación Vinculante 2020 respecto del ejercicio 2019</w:t>
      </w:r>
    </w:p>
    <w:p w14:paraId="294A7246" w14:textId="14E794F4" w:rsidR="00940D31" w:rsidRDefault="00BC3B3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Derivado de la evaluación de la información publicada y actualizada durante el 2019, por los sujetos obligados, en sus portales institucionales y la Plataforma Nacional de Transparencia (</w:t>
      </w:r>
      <w:r>
        <w:rPr>
          <w:rFonts w:ascii="Arial" w:eastAsia="Arial" w:hAnsi="Arial" w:cs="Arial"/>
          <w:i/>
        </w:rPr>
        <w:t>Segunda Evaluación Vinculante 2020 respecto del ejercicio 2019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</w:rPr>
        <w:t>izada por Instituto de Transparencia, Acceso a la Información Pública, Protección de Datos Personales y Rendición de Cuentas de la Ciudad de México (INFO), se aprecia que el promedio de información disponible para su consulta y aprovechamiento en la Ciudad</w:t>
      </w:r>
      <w:r>
        <w:rPr>
          <w:rFonts w:ascii="Arial" w:eastAsia="Arial" w:hAnsi="Arial" w:cs="Arial"/>
        </w:rPr>
        <w:t xml:space="preserve"> de México fue de </w:t>
      </w:r>
      <w:r>
        <w:rPr>
          <w:rFonts w:ascii="Arial" w:eastAsia="Arial" w:hAnsi="Arial" w:cs="Arial"/>
          <w:b/>
        </w:rPr>
        <w:t>76.99 por ciento</w:t>
      </w:r>
      <w:r>
        <w:rPr>
          <w:rFonts w:ascii="Arial" w:eastAsia="Arial" w:hAnsi="Arial" w:cs="Arial"/>
        </w:rPr>
        <w:t xml:space="preserve">, mientras que el año pasado en la evaluación similar referida al ejercicio 2018 fue de </w:t>
      </w:r>
      <w:r>
        <w:rPr>
          <w:rFonts w:ascii="Arial" w:eastAsia="Arial" w:hAnsi="Arial" w:cs="Arial"/>
          <w:b/>
        </w:rPr>
        <w:t>66.44 por ciento</w:t>
      </w:r>
      <w:r>
        <w:rPr>
          <w:rFonts w:ascii="Arial" w:eastAsia="Arial" w:hAnsi="Arial" w:cs="Arial"/>
        </w:rPr>
        <w:t>, lo que representa una disminución del incumplimiento de 10.55 puntos porcentuales.</w:t>
      </w:r>
    </w:p>
    <w:p w14:paraId="2377502E" w14:textId="4E95D7E1" w:rsidR="001D2986" w:rsidRDefault="00BC3B36" w:rsidP="001D2986">
      <w:pPr>
        <w:spacing w:after="240" w:line="276" w:lineRule="auto"/>
        <w:jc w:val="both"/>
        <w:rPr>
          <w:rFonts w:ascii="Arial" w:eastAsia="Arial" w:hAnsi="Arial" w:cs="Arial"/>
        </w:rPr>
      </w:pPr>
      <w:bookmarkStart w:id="1" w:name="_heading=h.c78p0byx3gfa" w:colFirst="0" w:colLast="0"/>
      <w:bookmarkEnd w:id="1"/>
      <w:r>
        <w:rPr>
          <w:rFonts w:ascii="Arial" w:eastAsia="Arial" w:hAnsi="Arial" w:cs="Arial"/>
        </w:rPr>
        <w:t>Con esta evaluación se atiende la</w:t>
      </w:r>
      <w:r>
        <w:rPr>
          <w:rFonts w:ascii="Arial" w:eastAsia="Arial" w:hAnsi="Arial" w:cs="Arial"/>
        </w:rPr>
        <w:t xml:space="preserve"> obligación mandatada por la Ley de Transparencia de verificar los portales institucionales y se avanza con el </w:t>
      </w:r>
      <w:r>
        <w:rPr>
          <w:rFonts w:ascii="Arial" w:eastAsia="Arial" w:hAnsi="Arial" w:cs="Arial"/>
          <w:b/>
        </w:rPr>
        <w:t>Plan Estratégico para Desarrollar la Agenda de Estado Abierto desde el Instituto 2019-2025</w:t>
      </w:r>
      <w:r>
        <w:rPr>
          <w:rFonts w:ascii="Arial" w:eastAsia="Arial" w:hAnsi="Arial" w:cs="Arial"/>
        </w:rPr>
        <w:t xml:space="preserve"> en lo relativo a disminuir el incumplimiento de obliga</w:t>
      </w:r>
      <w:r>
        <w:rPr>
          <w:rFonts w:ascii="Arial" w:eastAsia="Arial" w:hAnsi="Arial" w:cs="Arial"/>
        </w:rPr>
        <w:t>ciones de transparencia por parte de los sujetos obligados, en atención a evaluaciones oportunas y eficaces con perspectiva de derechos humanos y accesibilidad pertinentes.</w:t>
      </w:r>
    </w:p>
    <w:p w14:paraId="6587B232" w14:textId="21CC11BD" w:rsidR="001D2986" w:rsidRDefault="001D2986" w:rsidP="001D298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CD156E1" wp14:editId="69F923C7">
            <wp:extent cx="5612130" cy="2385391"/>
            <wp:effectExtent l="0" t="0" r="13970" b="12065"/>
            <wp:docPr id="263869102" name="Gráfico 263869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268FFA" w14:textId="7B2A5E79" w:rsidR="00940D31" w:rsidRDefault="00BC3B36" w:rsidP="001D298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principales resultados de este ejercicio de evaluación </w:t>
      </w:r>
      <w:r>
        <w:rPr>
          <w:rFonts w:ascii="Arial" w:eastAsia="Arial" w:hAnsi="Arial" w:cs="Arial"/>
          <w:b/>
        </w:rPr>
        <w:t xml:space="preserve">censal, </w:t>
      </w:r>
      <w:r>
        <w:rPr>
          <w:rFonts w:ascii="Arial" w:eastAsia="Arial" w:hAnsi="Arial" w:cs="Arial"/>
        </w:rPr>
        <w:t xml:space="preserve">en el que </w:t>
      </w:r>
      <w:r>
        <w:rPr>
          <w:rFonts w:ascii="Arial" w:eastAsia="Arial" w:hAnsi="Arial" w:cs="Arial"/>
        </w:rPr>
        <w:t>revisó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143</w:t>
      </w:r>
      <w:r>
        <w:rPr>
          <w:rFonts w:ascii="Arial" w:eastAsia="Arial" w:hAnsi="Arial" w:cs="Arial"/>
        </w:rPr>
        <w:t xml:space="preserve"> de 146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sujetos obligados del Padrón vigente al 31 de diciembre de 2019, son los siguientes: </w:t>
      </w:r>
    </w:p>
    <w:p w14:paraId="6F6E6021" w14:textId="77777777" w:rsidR="00940D31" w:rsidRDefault="00940D31">
      <w:pPr>
        <w:spacing w:line="276" w:lineRule="auto"/>
        <w:jc w:val="both"/>
        <w:rPr>
          <w:rFonts w:ascii="Arial" w:eastAsia="Arial" w:hAnsi="Arial" w:cs="Arial"/>
        </w:rPr>
      </w:pPr>
    </w:p>
    <w:p w14:paraId="786ACAFF" w14:textId="77777777" w:rsidR="00940D31" w:rsidRDefault="00BC3B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24 sujetos obligados</w:t>
      </w:r>
      <w:r>
        <w:rPr>
          <w:rFonts w:ascii="Arial" w:eastAsia="Arial" w:hAnsi="Arial" w:cs="Arial"/>
          <w:color w:val="000000"/>
        </w:rPr>
        <w:t xml:space="preserve"> con </w:t>
      </w:r>
      <w:r>
        <w:rPr>
          <w:rFonts w:ascii="Arial" w:eastAsia="Arial" w:hAnsi="Arial" w:cs="Arial"/>
          <w:b/>
          <w:color w:val="000000"/>
        </w:rPr>
        <w:t>cumplimiento total</w:t>
      </w:r>
      <w:r>
        <w:rPr>
          <w:rFonts w:ascii="Arial" w:eastAsia="Arial" w:hAnsi="Arial" w:cs="Arial"/>
          <w:color w:val="000000"/>
        </w:rPr>
        <w:t xml:space="preserve"> (100 puntos) = 16.7% de las evaluaciones. 13 de la administración pública central; 4 organismos desconc</w:t>
      </w:r>
      <w:r>
        <w:rPr>
          <w:rFonts w:ascii="Arial" w:eastAsia="Arial" w:hAnsi="Arial" w:cs="Arial"/>
          <w:color w:val="000000"/>
        </w:rPr>
        <w:t xml:space="preserve">entrados, paraestatales fondos y fideicomisos; 5 alcaldías y 2 órganos autónomos. </w:t>
      </w:r>
    </w:p>
    <w:p w14:paraId="33FA7FF7" w14:textId="77777777" w:rsidR="00940D31" w:rsidRDefault="00BC3B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86 sujetos obligados</w:t>
      </w:r>
      <w:r>
        <w:rPr>
          <w:rFonts w:ascii="Arial" w:eastAsia="Arial" w:hAnsi="Arial" w:cs="Arial"/>
          <w:color w:val="000000"/>
        </w:rPr>
        <w:t xml:space="preserve"> con </w:t>
      </w:r>
      <w:r>
        <w:rPr>
          <w:rFonts w:ascii="Arial" w:eastAsia="Arial" w:hAnsi="Arial" w:cs="Arial"/>
          <w:b/>
          <w:color w:val="000000"/>
        </w:rPr>
        <w:t>cumplimiento parcial</w:t>
      </w:r>
      <w:r>
        <w:rPr>
          <w:rFonts w:ascii="Arial" w:eastAsia="Arial" w:hAnsi="Arial" w:cs="Arial"/>
          <w:color w:val="000000"/>
        </w:rPr>
        <w:t xml:space="preserve"> (entre 60 y 99.99 puntos) = 60% de las evaluaciones. 9 de la administración pública central, 49 organismos desconcentrados, fon</w:t>
      </w:r>
      <w:r>
        <w:rPr>
          <w:rFonts w:ascii="Arial" w:eastAsia="Arial" w:hAnsi="Arial" w:cs="Arial"/>
          <w:color w:val="000000"/>
        </w:rPr>
        <w:t>dos y fideicomisos, 11 alcaldías, 2 del Poder Legislativo y 2 Poder Judicial, 4 órganos autónomos, 5 partidos políticos y 4 sindicatos.</w:t>
      </w:r>
    </w:p>
    <w:p w14:paraId="2C0BECCA" w14:textId="77777777" w:rsidR="00940D31" w:rsidRDefault="00BC3B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25 sujetos obligados</w:t>
      </w:r>
      <w:r>
        <w:rPr>
          <w:rFonts w:ascii="Arial" w:eastAsia="Arial" w:hAnsi="Arial" w:cs="Arial"/>
          <w:color w:val="000000"/>
        </w:rPr>
        <w:t xml:space="preserve"> con </w:t>
      </w:r>
      <w:r>
        <w:rPr>
          <w:rFonts w:ascii="Arial" w:eastAsia="Arial" w:hAnsi="Arial" w:cs="Arial"/>
          <w:b/>
          <w:color w:val="000000"/>
        </w:rPr>
        <w:t>incumplimiento parcial</w:t>
      </w:r>
      <w:r>
        <w:rPr>
          <w:rFonts w:ascii="Arial" w:eastAsia="Arial" w:hAnsi="Arial" w:cs="Arial"/>
          <w:color w:val="000000"/>
        </w:rPr>
        <w:t xml:space="preserve"> (entre 59.99 y 1 punto) = 17.3% de las evaluaciones. 9 organismos descon</w:t>
      </w:r>
      <w:r>
        <w:rPr>
          <w:rFonts w:ascii="Arial" w:eastAsia="Arial" w:hAnsi="Arial" w:cs="Arial"/>
          <w:color w:val="000000"/>
        </w:rPr>
        <w:t xml:space="preserve">centrados, paraestatales, fondos y fideicomisos, 1 órgano autónomo, 2 partidos políticos y 13 sindicatos. </w:t>
      </w:r>
    </w:p>
    <w:p w14:paraId="55FD965F" w14:textId="08681CFC" w:rsidR="00940D31" w:rsidRDefault="00BC3B36" w:rsidP="001D29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 sujetos obligados</w:t>
      </w:r>
      <w:r>
        <w:rPr>
          <w:rFonts w:ascii="Arial" w:eastAsia="Arial" w:hAnsi="Arial" w:cs="Arial"/>
          <w:color w:val="000000"/>
        </w:rPr>
        <w:t xml:space="preserve"> con </w:t>
      </w:r>
      <w:r>
        <w:rPr>
          <w:rFonts w:ascii="Arial" w:eastAsia="Arial" w:hAnsi="Arial" w:cs="Arial"/>
          <w:b/>
          <w:color w:val="000000"/>
        </w:rPr>
        <w:t>incumplimiento total</w:t>
      </w:r>
      <w:r>
        <w:rPr>
          <w:rFonts w:ascii="Arial" w:eastAsia="Arial" w:hAnsi="Arial" w:cs="Arial"/>
          <w:color w:val="000000"/>
        </w:rPr>
        <w:t xml:space="preserve"> (con 0 puntos) = 6% de las evaluaciones. 1 del ámbito de organismos desconcentrados, paraestatales, fond</w:t>
      </w:r>
      <w:r>
        <w:rPr>
          <w:rFonts w:ascii="Arial" w:eastAsia="Arial" w:hAnsi="Arial" w:cs="Arial"/>
          <w:color w:val="000000"/>
        </w:rPr>
        <w:t>os y fideicomisos, 3 partidos políticos y 4 sindicatos.</w:t>
      </w:r>
    </w:p>
    <w:p w14:paraId="1D2C9B62" w14:textId="77777777" w:rsidR="001D2986" w:rsidRPr="001D2986" w:rsidRDefault="001D2986" w:rsidP="001D2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C7E98EB" w14:textId="07565B12" w:rsidR="00940D31" w:rsidRDefault="00BC3B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Los resultados antes expuestos se presentan en la siguiente tabla:</w:t>
      </w:r>
    </w:p>
    <w:tbl>
      <w:tblPr>
        <w:tblStyle w:val="a2"/>
        <w:tblW w:w="91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15"/>
        <w:gridCol w:w="1350"/>
        <w:gridCol w:w="1359"/>
        <w:gridCol w:w="1360"/>
        <w:gridCol w:w="1378"/>
        <w:gridCol w:w="1378"/>
      </w:tblGrid>
      <w:tr w:rsidR="00940D31" w14:paraId="40AAB4F2" w14:textId="77777777">
        <w:trPr>
          <w:trHeight w:val="356"/>
          <w:jc w:val="center"/>
        </w:trPr>
        <w:tc>
          <w:tcPr>
            <w:tcW w:w="914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BD6A7B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Niveles de cumplimiento de los sujetos obligados de la Ciudad de México</w:t>
            </w:r>
          </w:p>
        </w:tc>
      </w:tr>
      <w:tr w:rsidR="00940D31" w14:paraId="36CEEFD5" w14:textId="77777777">
        <w:trPr>
          <w:trHeight w:val="967"/>
          <w:jc w:val="center"/>
        </w:trPr>
        <w:tc>
          <w:tcPr>
            <w:tcW w:w="2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EC6D9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355D93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Número de sujetos obligados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53A5E6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Cumplimiento total (100 puntos)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1025B2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Cumplimiento parcial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>(60 a 99.99 puntos)</w:t>
            </w:r>
          </w:p>
        </w:tc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82FFE5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Incumplimiento parcial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>(1 a 59.99 puntos)</w:t>
            </w:r>
          </w:p>
        </w:tc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FD30D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Incumplimiento total</w:t>
            </w:r>
          </w:p>
          <w:p w14:paraId="2A7071EA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(0 puntos)</w:t>
            </w:r>
          </w:p>
        </w:tc>
      </w:tr>
      <w:tr w:rsidR="00940D31" w14:paraId="05593270" w14:textId="77777777">
        <w:trPr>
          <w:trHeight w:val="512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D37F58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Administración Pública Centralizada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C918F4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CF1525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6AF161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BACDE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7A3BE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40D31" w14:paraId="4B5DF5CF" w14:textId="77777777">
        <w:trPr>
          <w:trHeight w:val="534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F0AF9B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Desconcentrados y Paraestatales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8D9AA3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722414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DEC3F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10DD7B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0D9019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40D31" w14:paraId="3AAE22E9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ABE129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Alcaldías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E9CF5D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C50B2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49FEB6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BD4549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17F210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40D31" w14:paraId="18115607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7E08FB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Poder Judicial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2B51D7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EF519E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1AC9D3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BDA307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243BA7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40D31" w14:paraId="40389562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1E14A5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0AF06E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B69AC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5CB6EF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E2C538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B4B961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40D31" w14:paraId="5F30F13B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C7A498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Órganos Autónomos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024CCF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498920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1E67FE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884D2C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558EA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40D31" w14:paraId="408F84EC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A357AC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Partidos Políticos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674942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7258D9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C73794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ABEBD3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82F8CC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40D31" w14:paraId="23B9C558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EB3144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Sindicatos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CDEE3F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39B9FC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A0BCE2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7AF6C2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591CFD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40D31" w14:paraId="5B1D6615" w14:textId="77777777">
        <w:trPr>
          <w:trHeight w:val="356"/>
          <w:jc w:val="center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D4739F" w14:textId="77777777" w:rsidR="00940D31" w:rsidRDefault="00BC3B3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646C81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143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A39796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FB1FBF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86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DBC74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336E5C" w14:textId="77777777" w:rsidR="00940D31" w:rsidRDefault="00BC3B36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8</w:t>
            </w:r>
          </w:p>
        </w:tc>
      </w:tr>
    </w:tbl>
    <w:p w14:paraId="11E22958" w14:textId="77777777" w:rsidR="00940D31" w:rsidRDefault="00BC3B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C58D628" w14:textId="77777777" w:rsidR="00940D31" w:rsidRDefault="00BC3B3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índice de cumplimiento promedio por ámbito se observa que el Poder Judicial obtuvo</w:t>
      </w:r>
      <w:r>
        <w:rPr>
          <w:rFonts w:ascii="Arial" w:eastAsia="Arial" w:hAnsi="Arial" w:cs="Arial"/>
        </w:rPr>
        <w:t xml:space="preserve"> el puntaje de cumplimiento más alto, mientras que</w:t>
      </w:r>
      <w:r>
        <w:rPr>
          <w:rFonts w:ascii="Arial" w:eastAsia="Arial" w:hAnsi="Arial" w:cs="Arial"/>
          <w:color w:val="000000"/>
        </w:rPr>
        <w:t xml:space="preserve"> los partidos políticos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color w:val="000000"/>
        </w:rPr>
        <w:t xml:space="preserve">los sindicatos, </w:t>
      </w:r>
      <w:r>
        <w:rPr>
          <w:rFonts w:ascii="Arial" w:eastAsia="Arial" w:hAnsi="Arial" w:cs="Arial"/>
        </w:rPr>
        <w:t xml:space="preserve">obtuvieron el más bajo. </w:t>
      </w:r>
    </w:p>
    <w:p w14:paraId="671C976B" w14:textId="77777777" w:rsidR="00940D31" w:rsidRDefault="00BC3B36">
      <w:pPr>
        <w:spacing w:line="276" w:lineRule="auto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01443B70" wp14:editId="31A8E878">
            <wp:extent cx="5962650" cy="2457450"/>
            <wp:effectExtent l="0" t="0" r="0" b="0"/>
            <wp:docPr id="263869104" name="Gráfico 263869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E9CA5F" w14:textId="77777777" w:rsidR="00940D31" w:rsidRDefault="00940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A058AEE" w14:textId="77777777" w:rsidR="00940D31" w:rsidRDefault="00BC3B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Buenas prácticas y áreas de oportunidad</w:t>
      </w:r>
    </w:p>
    <w:p w14:paraId="41AFC64B" w14:textId="77777777" w:rsidR="00940D31" w:rsidRDefault="00940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</w:p>
    <w:p w14:paraId="0F571293" w14:textId="77777777" w:rsidR="00940D31" w:rsidRDefault="00BC3B3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n aras de mejorar y agregar valor al ejercicio de la verificación se definieron y sistematizaron </w:t>
      </w:r>
      <w:r>
        <w:rPr>
          <w:rFonts w:ascii="Arial" w:eastAsia="Arial" w:hAnsi="Arial" w:cs="Arial"/>
          <w:b/>
          <w:color w:val="000000"/>
        </w:rPr>
        <w:t>11 buenas prácticas</w:t>
      </w:r>
      <w:r>
        <w:rPr>
          <w:rFonts w:ascii="Arial" w:eastAsia="Arial" w:hAnsi="Arial" w:cs="Arial"/>
          <w:color w:val="000000"/>
        </w:rPr>
        <w:t xml:space="preserve"> y </w:t>
      </w:r>
      <w:r>
        <w:rPr>
          <w:rFonts w:ascii="Arial" w:eastAsia="Arial" w:hAnsi="Arial" w:cs="Arial"/>
          <w:b/>
          <w:color w:val="000000"/>
        </w:rPr>
        <w:t>9 áreas de oportunidad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color w:val="000000"/>
        </w:rPr>
        <w:t xml:space="preserve"> en la publicación de la información. Las buenas prácticas se refieren a procesos o actividades con resultados po</w:t>
      </w:r>
      <w:r>
        <w:rPr>
          <w:rFonts w:ascii="Arial" w:eastAsia="Arial" w:hAnsi="Arial" w:cs="Arial"/>
          <w:color w:val="000000"/>
        </w:rPr>
        <w:t>sitivos o bien que son innovadoras y que pueden ser replicadas para mejorar la efectividad y eficiencia de la información publicada para la utilidad y aprovechamiento de las personas. En el sentido contrario, las áreas de oportunidad son prácticas que difi</w:t>
      </w:r>
      <w:r>
        <w:rPr>
          <w:rFonts w:ascii="Arial" w:eastAsia="Arial" w:hAnsi="Arial" w:cs="Arial"/>
          <w:color w:val="000000"/>
        </w:rPr>
        <w:t>cultan, ralentizan o suponen algún tipo de obstáculo para la obtención de la información que publican los sujetos obligados.</w:t>
      </w:r>
    </w:p>
    <w:p w14:paraId="1A705763" w14:textId="77777777" w:rsidR="00940D31" w:rsidRDefault="00BC3B3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ello, primero se recopilaron todas las observaciones que se les habían hecho a los sujetos obligados en las revisiones; tanto </w:t>
      </w:r>
      <w:r>
        <w:rPr>
          <w:rFonts w:ascii="Arial" w:eastAsia="Arial" w:hAnsi="Arial" w:cs="Arial"/>
        </w:rPr>
        <w:t>los aspectos positivos, como los que demandaban alguna acción de mejora en la publicación de cada una de las obligaciones de transparencia y posteriormente, se sistematizaron.</w:t>
      </w:r>
    </w:p>
    <w:p w14:paraId="62D53D77" w14:textId="77777777" w:rsidR="00940D31" w:rsidRDefault="00BC3B3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b/>
        </w:rPr>
        <w:t>11 buenas prácticas</w:t>
      </w:r>
      <w:r>
        <w:rPr>
          <w:rFonts w:ascii="Arial" w:eastAsia="Arial" w:hAnsi="Arial" w:cs="Arial"/>
        </w:rPr>
        <w:t xml:space="preserve"> definidas son:</w:t>
      </w:r>
    </w:p>
    <w:p w14:paraId="29A3E988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Publican la información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color w:val="000000"/>
        </w:rPr>
        <w:t xml:space="preserve"> bases de datos</w:t>
      </w:r>
      <w:r>
        <w:rPr>
          <w:rFonts w:ascii="Arial" w:eastAsia="Arial" w:hAnsi="Arial" w:cs="Arial"/>
          <w:color w:val="000000"/>
        </w:rPr>
        <w:t xml:space="preserve"> limpias.</w:t>
      </w:r>
    </w:p>
    <w:p w14:paraId="1042BE15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Publican la información en formatos abiertos y accesibles.</w:t>
      </w:r>
    </w:p>
    <w:p w14:paraId="6B82DD87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Publican un </w:t>
      </w:r>
      <w:proofErr w:type="spellStart"/>
      <w:r>
        <w:rPr>
          <w:rFonts w:ascii="Arial" w:eastAsia="Arial" w:hAnsi="Arial" w:cs="Arial"/>
          <w:color w:val="000000"/>
        </w:rPr>
        <w:t>micrositio</w:t>
      </w:r>
      <w:proofErr w:type="spellEnd"/>
      <w:r>
        <w:rPr>
          <w:rFonts w:ascii="Arial" w:eastAsia="Arial" w:hAnsi="Arial" w:cs="Arial"/>
          <w:color w:val="000000"/>
        </w:rPr>
        <w:t xml:space="preserve"> de transparencia en el cual utilizan un lenguaje ciudadano.</w:t>
      </w:r>
    </w:p>
    <w:p w14:paraId="16798333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ingreso a la sección de obligaciones de transparencia es de fácil acceso y navegación para los usuarios.</w:t>
      </w:r>
    </w:p>
    <w:p w14:paraId="4EAAF872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Se describe el tema </w:t>
      </w:r>
      <w:r>
        <w:rPr>
          <w:rFonts w:ascii="Arial" w:eastAsia="Arial" w:hAnsi="Arial" w:cs="Arial"/>
        </w:rPr>
        <w:t xml:space="preserve">al que se refieren los </w:t>
      </w:r>
      <w:r>
        <w:rPr>
          <w:rFonts w:ascii="Arial" w:eastAsia="Arial" w:hAnsi="Arial" w:cs="Arial"/>
          <w:color w:val="000000"/>
        </w:rPr>
        <w:t>artículos y fracciones.</w:t>
      </w:r>
    </w:p>
    <w:p w14:paraId="1009FABE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Utilizan el formato público de descarga de la Plataforma Nacional de Transparenci</w:t>
      </w:r>
      <w:r>
        <w:rPr>
          <w:rFonts w:ascii="Arial" w:eastAsia="Arial" w:hAnsi="Arial" w:cs="Arial"/>
          <w:color w:val="000000"/>
        </w:rPr>
        <w:t>a (para carga en el portal de transparencia).</w:t>
      </w:r>
    </w:p>
    <w:p w14:paraId="69E50FE1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Concentran la información en un solo formato y no por unidad administrativa.</w:t>
      </w:r>
    </w:p>
    <w:p w14:paraId="139F282C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Publican en su sitio de Internet un apartado correspondiente a información histórica de las obligaciones de transparencia.</w:t>
      </w:r>
    </w:p>
    <w:p w14:paraId="5BD4D602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Publican u</w:t>
      </w:r>
      <w:r>
        <w:rPr>
          <w:rFonts w:ascii="Arial" w:eastAsia="Arial" w:hAnsi="Arial" w:cs="Arial"/>
          <w:color w:val="000000"/>
        </w:rPr>
        <w:t>na leyenda en las fracciones que “No les aplican”.</w:t>
      </w:r>
    </w:p>
    <w:p w14:paraId="0F22E325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Actualizan la información de manera inmediata en cuanto termina el periodo establecido en la normativa correspondiente.</w:t>
      </w:r>
    </w:p>
    <w:p w14:paraId="4870C2CE" w14:textId="77777777" w:rsidR="00940D31" w:rsidRDefault="00BC3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Indican en las notas cuándo se tendrá disponible la información que al momento de su </w:t>
      </w:r>
      <w:r>
        <w:rPr>
          <w:rFonts w:ascii="Arial" w:eastAsia="Arial" w:hAnsi="Arial" w:cs="Arial"/>
          <w:color w:val="000000"/>
        </w:rPr>
        <w:t>actualización se encuentra en proceso de generación.</w:t>
      </w:r>
    </w:p>
    <w:p w14:paraId="28EE33CD" w14:textId="77777777" w:rsidR="00940D31" w:rsidRDefault="00940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Arial" w:eastAsia="Arial" w:hAnsi="Arial" w:cs="Arial"/>
          <w:color w:val="000000"/>
        </w:rPr>
      </w:pPr>
    </w:p>
    <w:p w14:paraId="55460694" w14:textId="77777777" w:rsidR="00940D31" w:rsidRDefault="00BC3B3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b/>
        </w:rPr>
        <w:t xml:space="preserve">9 áreas de oportunidad </w:t>
      </w:r>
      <w:r>
        <w:rPr>
          <w:rFonts w:ascii="Arial" w:eastAsia="Arial" w:hAnsi="Arial" w:cs="Arial"/>
        </w:rPr>
        <w:t>definidas son:</w:t>
      </w:r>
    </w:p>
    <w:p w14:paraId="7A774410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Actualizar oportunamente la información.</w:t>
      </w:r>
    </w:p>
    <w:p w14:paraId="4C7B1405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que los hipervínculos registrados funcionen correctamente 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en su caso, alojarlos en un servidor perteneciente a la Institución para evitar rupturas en los mismos. </w:t>
      </w:r>
    </w:p>
    <w:p w14:paraId="28BBE78C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Publicar el hipervínculo que 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000000"/>
        </w:rPr>
        <w:t xml:space="preserve"> acceso directo a los documentos.</w:t>
      </w:r>
    </w:p>
    <w:p w14:paraId="4BAEB6A2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Desproteger los hipervínculos y/o formatos, previo a su registro.</w:t>
      </w:r>
    </w:p>
    <w:p w14:paraId="08A1375A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Registrar los hipervínculos que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color w:val="000000"/>
        </w:rPr>
        <w:t xml:space="preserve"> acceso a la versión más actualizada de los documentos.</w:t>
      </w:r>
    </w:p>
    <w:p w14:paraId="2BD52AA6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la ortografía, redacción y puntuación en los formatos de carga.</w:t>
      </w:r>
    </w:p>
    <w:p w14:paraId="2BD1E990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Verificar que los formato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</w:rPr>
        <w:t>utilizados</w:t>
      </w:r>
      <w:r>
        <w:rPr>
          <w:rFonts w:ascii="Arial" w:eastAsia="Arial" w:hAnsi="Arial" w:cs="Arial"/>
          <w:color w:val="000000"/>
        </w:rPr>
        <w:t xml:space="preserve"> correspondan con la fracción o inciso. </w:t>
      </w:r>
    </w:p>
    <w:p w14:paraId="2EFA0930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Homologar la información que se publica en el portal de transparencia del sujeto obligado con la que se publica en la Plataforma Nacional de Transparencia.</w:t>
      </w:r>
    </w:p>
    <w:p w14:paraId="493F420A" w14:textId="77777777" w:rsidR="00940D31" w:rsidRDefault="00BC3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Publicar la leyenda “No se genera información” </w:t>
      </w:r>
      <w:r>
        <w:rPr>
          <w:rFonts w:ascii="Arial" w:eastAsia="Arial" w:hAnsi="Arial" w:cs="Arial"/>
          <w:color w:val="000000"/>
        </w:rPr>
        <w:t>en lugar de "No aplica" cuando los criterios no le son aplicables.</w:t>
      </w:r>
    </w:p>
    <w:p w14:paraId="1AD55E0A" w14:textId="77777777" w:rsidR="00940D31" w:rsidRDefault="00BC3B3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 los 143 sujetos obligados evaluados, se detectaron dentro de los 11 tipos de buenas prácticas definidos, </w:t>
      </w:r>
      <w:r>
        <w:rPr>
          <w:rFonts w:ascii="Arial" w:eastAsia="Arial" w:hAnsi="Arial" w:cs="Arial"/>
          <w:b/>
        </w:rPr>
        <w:t>1,087 casos</w:t>
      </w:r>
      <w:r>
        <w:rPr>
          <w:rFonts w:ascii="Arial" w:eastAsia="Arial" w:hAnsi="Arial" w:cs="Arial"/>
        </w:rPr>
        <w:t>. De igual forma, en los 9 tipos de áreas de oportunidad se encontr</w:t>
      </w:r>
      <w:r>
        <w:rPr>
          <w:rFonts w:ascii="Arial" w:eastAsia="Arial" w:hAnsi="Arial" w:cs="Arial"/>
        </w:rPr>
        <w:t xml:space="preserve">aron </w:t>
      </w:r>
      <w:r>
        <w:rPr>
          <w:rFonts w:ascii="Arial" w:eastAsia="Arial" w:hAnsi="Arial" w:cs="Arial"/>
          <w:b/>
        </w:rPr>
        <w:t>419 casos.</w:t>
      </w:r>
      <w:r>
        <w:rPr>
          <w:rFonts w:ascii="Arial" w:eastAsia="Arial" w:hAnsi="Arial" w:cs="Arial"/>
        </w:rPr>
        <w:t xml:space="preserve"> Estos hallazgos constituyen el principal insumo para el diseño puntual de estrategias que el </w:t>
      </w:r>
      <w:proofErr w:type="spellStart"/>
      <w:r>
        <w:rPr>
          <w:rFonts w:ascii="Arial" w:eastAsia="Arial" w:hAnsi="Arial" w:cs="Arial"/>
        </w:rPr>
        <w:t>InfoCDMX</w:t>
      </w:r>
      <w:proofErr w:type="spellEnd"/>
      <w:r>
        <w:rPr>
          <w:rFonts w:ascii="Arial" w:eastAsia="Arial" w:hAnsi="Arial" w:cs="Arial"/>
        </w:rPr>
        <w:t xml:space="preserve"> despliegue con cada sujeto obligado, para avanzar en el cumplimiento del piso mínimo que la Ley local de Transparencia establece.</w:t>
      </w:r>
    </w:p>
    <w:p w14:paraId="06856866" w14:textId="77777777" w:rsidR="00940D31" w:rsidRDefault="00BC3B3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Análisis</w:t>
      </w:r>
      <w:r>
        <w:rPr>
          <w:rFonts w:ascii="Arial" w:eastAsia="Arial" w:hAnsi="Arial" w:cs="Arial"/>
          <w:b/>
        </w:rPr>
        <w:t xml:space="preserve"> al cumplimiento a las contrataciones </w:t>
      </w:r>
    </w:p>
    <w:p w14:paraId="4702BE76" w14:textId="77777777" w:rsidR="00940D31" w:rsidRDefault="00940D31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4F51918E" w14:textId="77777777" w:rsidR="00940D31" w:rsidRDefault="00BC3B3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Otro aspecto novedoso de esta evaluación es el análisis focalizado al cumplimiento de las obligaciones de transparencia en materia de </w:t>
      </w:r>
      <w:r>
        <w:rPr>
          <w:rFonts w:ascii="Arial" w:eastAsia="Arial" w:hAnsi="Arial" w:cs="Arial"/>
          <w:b/>
        </w:rPr>
        <w:t>contrataciones</w:t>
      </w:r>
      <w:r>
        <w:rPr>
          <w:rFonts w:ascii="Arial" w:eastAsia="Arial" w:hAnsi="Arial" w:cs="Arial"/>
        </w:rPr>
        <w:t xml:space="preserve"> entre los sujetos </w:t>
      </w:r>
      <w:r>
        <w:rPr>
          <w:rFonts w:ascii="Arial" w:eastAsia="Arial" w:hAnsi="Arial" w:cs="Arial"/>
        </w:rPr>
        <w:lastRenderedPageBreak/>
        <w:t>obligados de la Ciudad de México, ya que son dato</w:t>
      </w:r>
      <w:r>
        <w:rPr>
          <w:rFonts w:ascii="Arial" w:eastAsia="Arial" w:hAnsi="Arial" w:cs="Arial"/>
        </w:rPr>
        <w:t xml:space="preserve">s que despiertan más interés entre la población. Del análisis se desprende lo siguiente: </w:t>
      </w:r>
    </w:p>
    <w:p w14:paraId="0749C284" w14:textId="77777777" w:rsidR="00940D31" w:rsidRDefault="00BC3B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</w:rPr>
        <w:t xml:space="preserve">promedio de cumplimiento en las fracciones analizadas es de </w:t>
      </w:r>
      <w:r>
        <w:rPr>
          <w:rFonts w:ascii="Arial" w:eastAsia="Arial" w:hAnsi="Arial" w:cs="Arial"/>
          <w:b/>
          <w:color w:val="000000"/>
        </w:rPr>
        <w:t>71.2 puntos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Esto significa que hay una brecha de </w:t>
      </w:r>
      <w:r>
        <w:rPr>
          <w:rFonts w:ascii="Arial" w:eastAsia="Arial" w:hAnsi="Arial" w:cs="Arial"/>
        </w:rPr>
        <w:t>28.8</w:t>
      </w:r>
      <w:r>
        <w:rPr>
          <w:rFonts w:ascii="Arial" w:eastAsia="Arial" w:hAnsi="Arial" w:cs="Arial"/>
          <w:color w:val="000000"/>
        </w:rPr>
        <w:t xml:space="preserve"> puntos para cumplir con el mínimo que marca la ley. </w:t>
      </w:r>
    </w:p>
    <w:p w14:paraId="33B7F1D5" w14:textId="77777777" w:rsidR="00940D31" w:rsidRDefault="00BC3B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El 40%, es decir, </w:t>
      </w:r>
      <w:r>
        <w:rPr>
          <w:rFonts w:ascii="Arial" w:eastAsia="Arial" w:hAnsi="Arial" w:cs="Arial"/>
          <w:b/>
          <w:color w:val="000000"/>
        </w:rPr>
        <w:t xml:space="preserve">57 de 143 </w:t>
      </w:r>
      <w:r>
        <w:rPr>
          <w:rFonts w:ascii="Arial" w:eastAsia="Arial" w:hAnsi="Arial" w:cs="Arial"/>
          <w:color w:val="000000"/>
        </w:rPr>
        <w:t xml:space="preserve">sujetos obligados del Padrón evaluado </w:t>
      </w:r>
      <w:r>
        <w:rPr>
          <w:rFonts w:ascii="Arial" w:eastAsia="Arial" w:hAnsi="Arial" w:cs="Arial"/>
          <w:color w:val="000000"/>
          <w:u w:val="single"/>
        </w:rPr>
        <w:t>cumplen totalmente</w:t>
      </w:r>
      <w:r>
        <w:rPr>
          <w:rFonts w:ascii="Arial" w:eastAsia="Arial" w:hAnsi="Arial" w:cs="Arial"/>
          <w:color w:val="000000"/>
        </w:rPr>
        <w:t xml:space="preserve"> (100 puntos) con la publicación del piso mínimo relativo a las contrataciones realizadas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</w:rPr>
        <w:t>Por ámbito se desglosan en: 19 de la administración central; 16 desconcentrados, paraestatales, fondos y fideicomisos; 12 alcaldías; 1 del Poder Judicial; 4 órganos autónomos; 4 partidos políticos y 1 sindicato.</w:t>
      </w:r>
    </w:p>
    <w:p w14:paraId="32C554D7" w14:textId="77777777" w:rsidR="00940D31" w:rsidRDefault="00BC3B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</w:rPr>
        <w:t>En el otro extremo están 35 sujetos obligado</w:t>
      </w:r>
      <w:r>
        <w:rPr>
          <w:rFonts w:ascii="Arial" w:eastAsia="Arial" w:hAnsi="Arial" w:cs="Arial"/>
          <w:color w:val="000000"/>
        </w:rPr>
        <w:t xml:space="preserve">s, que representan 24.5% del Padrón, que </w:t>
      </w:r>
      <w:r>
        <w:rPr>
          <w:rFonts w:ascii="Arial" w:eastAsia="Arial" w:hAnsi="Arial" w:cs="Arial"/>
          <w:color w:val="000000"/>
          <w:u w:val="single"/>
        </w:rPr>
        <w:t>incumplen totalmente</w:t>
      </w:r>
      <w:r>
        <w:rPr>
          <w:rFonts w:ascii="Arial" w:eastAsia="Arial" w:hAnsi="Arial" w:cs="Arial"/>
          <w:color w:val="000000"/>
        </w:rPr>
        <w:t xml:space="preserve"> (0 puntos) y no publican la información relativa a las contrataciones que realizaron en la fracción referida a contrataciones: 12 órganos desconcentrados, paraestatales, fondos y fideicomisos; u</w:t>
      </w:r>
      <w:r>
        <w:rPr>
          <w:rFonts w:ascii="Arial" w:eastAsia="Arial" w:hAnsi="Arial" w:cs="Arial"/>
          <w:color w:val="000000"/>
        </w:rPr>
        <w:t>n órgano autónomo; seis partidos políticos y 16 sindicatos.</w:t>
      </w:r>
    </w:p>
    <w:p w14:paraId="57549B7D" w14:textId="77777777" w:rsidR="00940D31" w:rsidRDefault="00BC3B36">
      <w:pPr>
        <w:spacing w:line="276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7EB0096" wp14:editId="4D825A4A">
            <wp:extent cx="5619750" cy="2305050"/>
            <wp:effectExtent l="0" t="0" r="0" b="0"/>
            <wp:docPr id="263869103" name="Gráfico 263869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DDED04" w14:textId="77777777" w:rsidR="00940D31" w:rsidRDefault="00BC3B36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° Se refieren a los puntos promedio del Art. 138, fracción IV de la Ley local Transparencia.</w:t>
      </w:r>
    </w:p>
    <w:p w14:paraId="53DA8DCA" w14:textId="77777777" w:rsidR="00940D31" w:rsidRDefault="00BC3B36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 Se refieren a los puntos promedio del Art. 129, fracción IV de la Ley local Transparencia.</w:t>
      </w:r>
    </w:p>
    <w:p w14:paraId="027E6856" w14:textId="77777777" w:rsidR="00940D31" w:rsidRDefault="00BC3B36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Se ref</w:t>
      </w:r>
      <w:r>
        <w:rPr>
          <w:rFonts w:ascii="Arial" w:eastAsia="Arial" w:hAnsi="Arial" w:cs="Arial"/>
          <w:sz w:val="20"/>
          <w:szCs w:val="20"/>
        </w:rPr>
        <w:t>ieren a los puntos promedio del Art. 121, fracción XXX de la Ley local Transparencia.</w:t>
      </w:r>
    </w:p>
    <w:p w14:paraId="46755893" w14:textId="77777777" w:rsidR="00940D31" w:rsidRDefault="00940D31">
      <w:pPr>
        <w:spacing w:line="276" w:lineRule="auto"/>
        <w:rPr>
          <w:rFonts w:ascii="Arial" w:eastAsia="Arial" w:hAnsi="Arial" w:cs="Arial"/>
        </w:rPr>
      </w:pPr>
    </w:p>
    <w:p w14:paraId="1ED3D520" w14:textId="77777777" w:rsidR="00940D31" w:rsidRDefault="00BC3B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</w:t>
      </w:r>
      <w:r>
        <w:rPr>
          <w:rFonts w:ascii="Arial" w:eastAsia="Arial" w:hAnsi="Arial" w:cs="Arial"/>
          <w:b/>
          <w:color w:val="000000"/>
        </w:rPr>
        <w:t>áreas de oportunidad</w:t>
      </w:r>
      <w:r>
        <w:rPr>
          <w:rFonts w:ascii="Arial" w:eastAsia="Arial" w:hAnsi="Arial" w:cs="Arial"/>
          <w:color w:val="000000"/>
        </w:rPr>
        <w:t xml:space="preserve"> detectadas que requieren de atención </w:t>
      </w:r>
      <w:r>
        <w:rPr>
          <w:rFonts w:ascii="Arial" w:eastAsia="Arial" w:hAnsi="Arial" w:cs="Arial"/>
          <w:b/>
          <w:color w:val="000000"/>
        </w:rPr>
        <w:t xml:space="preserve">en materia de contrataciones </w:t>
      </w:r>
      <w:r>
        <w:rPr>
          <w:rFonts w:ascii="Arial" w:eastAsia="Arial" w:hAnsi="Arial" w:cs="Arial"/>
          <w:color w:val="000000"/>
        </w:rPr>
        <w:t>van, desde la falta total de información publicada sobre contratos y convenios</w:t>
      </w:r>
      <w:r>
        <w:rPr>
          <w:rFonts w:ascii="Arial" w:eastAsia="Arial" w:hAnsi="Arial" w:cs="Arial"/>
          <w:color w:val="000000"/>
        </w:rPr>
        <w:t>, pasando por información no actualizada, hasta la revisión en el funcionamiento de los hipervínculos publicados para garantizar que no estén rotos</w:t>
      </w:r>
      <w:r>
        <w:rPr>
          <w:rFonts w:ascii="Arial" w:eastAsia="Arial" w:hAnsi="Arial" w:cs="Arial"/>
        </w:rPr>
        <w:t xml:space="preserve">, además de que la liga </w:t>
      </w:r>
      <w:r>
        <w:rPr>
          <w:rFonts w:ascii="Arial" w:eastAsia="Arial" w:hAnsi="Arial" w:cs="Arial"/>
          <w:color w:val="000000"/>
        </w:rPr>
        <w:t>corresponda al contrato o convenio directamente</w:t>
      </w:r>
      <w:r>
        <w:rPr>
          <w:rFonts w:ascii="Arial" w:eastAsia="Arial" w:hAnsi="Arial" w:cs="Arial"/>
        </w:rPr>
        <w:t xml:space="preserve"> al que hace referencia en la informac</w:t>
      </w:r>
      <w:r>
        <w:rPr>
          <w:rFonts w:ascii="Arial" w:eastAsia="Arial" w:hAnsi="Arial" w:cs="Arial"/>
        </w:rPr>
        <w:t>ión que se está publicando.</w:t>
      </w:r>
    </w:p>
    <w:p w14:paraId="3FA3EF50" w14:textId="77777777" w:rsidR="00940D31" w:rsidRDefault="00BC3B36">
      <w:pPr>
        <w:spacing w:after="16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Recomendaciones derivadas de la Segunda Evaluación Vinculante 2020</w:t>
      </w:r>
    </w:p>
    <w:p w14:paraId="0F209CDE" w14:textId="77777777" w:rsidR="00940D31" w:rsidRDefault="00BC3B36">
      <w:pPr>
        <w:spacing w:after="160" w:line="276" w:lineRule="auto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lastRenderedPageBreak/>
        <w:t xml:space="preserve">De los resultados antes señalados, se desprenden una serie de </w:t>
      </w:r>
      <w:r>
        <w:rPr>
          <w:rFonts w:ascii="Arial" w:eastAsia="Arial" w:hAnsi="Arial" w:cs="Arial"/>
          <w:b/>
        </w:rPr>
        <w:t>recomendaciones</w:t>
      </w:r>
      <w:r>
        <w:rPr>
          <w:rFonts w:ascii="Arial" w:eastAsia="Arial" w:hAnsi="Arial" w:cs="Arial"/>
        </w:rPr>
        <w:t xml:space="preserve"> a los sujetos obligados para garantizar a las personas su derecho de acceso a la información con la publicación de información completa, veraz, oportuna para incrementar su utilidad y aprovechamiento por parte de las personas.</w:t>
      </w:r>
    </w:p>
    <w:p w14:paraId="712EAB17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Mantener </w:t>
      </w:r>
      <w:r>
        <w:rPr>
          <w:rFonts w:ascii="Arial" w:eastAsia="Arial" w:hAnsi="Arial" w:cs="Arial"/>
          <w:b/>
        </w:rPr>
        <w:t xml:space="preserve">actualizada </w:t>
      </w:r>
      <w:r>
        <w:rPr>
          <w:rFonts w:ascii="Arial" w:eastAsia="Arial" w:hAnsi="Arial" w:cs="Arial"/>
        </w:rPr>
        <w:t xml:space="preserve">la información y de preferencia con </w:t>
      </w:r>
      <w:r>
        <w:rPr>
          <w:rFonts w:ascii="Arial" w:eastAsia="Arial" w:hAnsi="Arial" w:cs="Arial"/>
          <w:b/>
        </w:rPr>
        <w:t>accesos directos</w:t>
      </w:r>
      <w:r>
        <w:rPr>
          <w:rFonts w:ascii="Arial" w:eastAsia="Arial" w:hAnsi="Arial" w:cs="Arial"/>
        </w:rPr>
        <w:t xml:space="preserve"> que faciliten su consulta e incentiven la búsqueda de la información.</w:t>
      </w:r>
    </w:p>
    <w:p w14:paraId="26668545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Utilizar bases de </w:t>
      </w:r>
      <w:r>
        <w:rPr>
          <w:rFonts w:ascii="Arial" w:eastAsia="Arial" w:hAnsi="Arial" w:cs="Arial"/>
          <w:b/>
        </w:rPr>
        <w:t>datos abiertos</w:t>
      </w:r>
      <w:r>
        <w:rPr>
          <w:rFonts w:ascii="Arial" w:eastAsia="Arial" w:hAnsi="Arial" w:cs="Arial"/>
        </w:rPr>
        <w:t xml:space="preserve"> y lenguaje sencillo. </w:t>
      </w:r>
    </w:p>
    <w:p w14:paraId="461381E8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Establecer un apartado correspondiente a la información histórica </w:t>
      </w:r>
      <w:r>
        <w:rPr>
          <w:rFonts w:ascii="Arial" w:eastAsia="Arial" w:hAnsi="Arial" w:cs="Arial"/>
        </w:rPr>
        <w:t xml:space="preserve">de las obligaciones de transparencia, a fin de brindar acceso fácil para todas las personas a la </w:t>
      </w:r>
      <w:r>
        <w:rPr>
          <w:rFonts w:ascii="Arial" w:eastAsia="Arial" w:hAnsi="Arial" w:cs="Arial"/>
          <w:b/>
        </w:rPr>
        <w:t>memoria y archivo institucional</w:t>
      </w:r>
      <w:r>
        <w:rPr>
          <w:rFonts w:ascii="Arial" w:eastAsia="Arial" w:hAnsi="Arial" w:cs="Arial"/>
        </w:rPr>
        <w:t>.</w:t>
      </w:r>
    </w:p>
    <w:p w14:paraId="756B72F3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Verificar el </w:t>
      </w:r>
      <w:r>
        <w:rPr>
          <w:rFonts w:ascii="Arial" w:eastAsia="Arial" w:hAnsi="Arial" w:cs="Arial"/>
          <w:b/>
        </w:rPr>
        <w:t>correcto funcionamiento de los hipervínculos</w:t>
      </w:r>
      <w:r>
        <w:rPr>
          <w:rFonts w:ascii="Arial" w:eastAsia="Arial" w:hAnsi="Arial" w:cs="Arial"/>
        </w:rPr>
        <w:t>, por ejemplo, que se alojen en un servidor administrado por la insti</w:t>
      </w:r>
      <w:r>
        <w:rPr>
          <w:rFonts w:ascii="Arial" w:eastAsia="Arial" w:hAnsi="Arial" w:cs="Arial"/>
        </w:rPr>
        <w:t>tución para evitar rupturas y tener control sobre su actualización permanente, que no se encuentren protegidos.</w:t>
      </w:r>
    </w:p>
    <w:p w14:paraId="3625D408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Verificar la </w:t>
      </w:r>
      <w:r>
        <w:rPr>
          <w:rFonts w:ascii="Arial" w:eastAsia="Arial" w:hAnsi="Arial" w:cs="Arial"/>
          <w:b/>
        </w:rPr>
        <w:t>correspondencia entre los formatos y la fracción o inciso</w:t>
      </w:r>
      <w:r>
        <w:rPr>
          <w:rFonts w:ascii="Arial" w:eastAsia="Arial" w:hAnsi="Arial" w:cs="Arial"/>
        </w:rPr>
        <w:t>, así como cuidar la ortografía, redacción y puntuación en los formatos de</w:t>
      </w:r>
      <w:r>
        <w:rPr>
          <w:rFonts w:ascii="Arial" w:eastAsia="Arial" w:hAnsi="Arial" w:cs="Arial"/>
        </w:rPr>
        <w:t xml:space="preserve"> carga, para así evitar errores o dificultades para la visualizar la información.</w:t>
      </w:r>
    </w:p>
    <w:p w14:paraId="64440534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Revisar que se </w:t>
      </w:r>
      <w:r>
        <w:rPr>
          <w:rFonts w:ascii="Arial" w:eastAsia="Arial" w:hAnsi="Arial" w:cs="Arial"/>
          <w:b/>
        </w:rPr>
        <w:t xml:space="preserve">homologue </w:t>
      </w:r>
      <w:r>
        <w:rPr>
          <w:rFonts w:ascii="Arial" w:eastAsia="Arial" w:hAnsi="Arial" w:cs="Arial"/>
        </w:rPr>
        <w:t xml:space="preserve">la información que se publica en el </w:t>
      </w:r>
      <w:r>
        <w:rPr>
          <w:rFonts w:ascii="Arial" w:eastAsia="Arial" w:hAnsi="Arial" w:cs="Arial"/>
          <w:b/>
        </w:rPr>
        <w:t>portal de transparencia</w:t>
      </w:r>
      <w:r>
        <w:rPr>
          <w:rFonts w:ascii="Arial" w:eastAsia="Arial" w:hAnsi="Arial" w:cs="Arial"/>
        </w:rPr>
        <w:t xml:space="preserve"> del sujeto obligado con la que se publica en la </w:t>
      </w:r>
      <w:r>
        <w:rPr>
          <w:rFonts w:ascii="Arial" w:eastAsia="Arial" w:hAnsi="Arial" w:cs="Arial"/>
          <w:b/>
        </w:rPr>
        <w:t>Plataforma Nacional de Transparencia</w:t>
      </w:r>
      <w:r>
        <w:rPr>
          <w:rFonts w:ascii="Arial" w:eastAsia="Arial" w:hAnsi="Arial" w:cs="Arial"/>
        </w:rPr>
        <w:t>.</w:t>
      </w:r>
    </w:p>
    <w:p w14:paraId="208894FA" w14:textId="77777777" w:rsidR="00940D31" w:rsidRDefault="00BC3B3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</w:rPr>
        <w:t xml:space="preserve">ticularmente en materia de contrataciones, se recomienda publicar </w:t>
      </w:r>
      <w:r>
        <w:rPr>
          <w:rFonts w:ascii="Arial" w:eastAsia="Arial" w:hAnsi="Arial" w:cs="Arial"/>
          <w:b/>
        </w:rPr>
        <w:t>la información completa</w:t>
      </w:r>
      <w:r>
        <w:rPr>
          <w:rFonts w:ascii="Arial" w:eastAsia="Arial" w:hAnsi="Arial" w:cs="Arial"/>
        </w:rPr>
        <w:t xml:space="preserve"> y mantenerla </w:t>
      </w:r>
      <w:r>
        <w:rPr>
          <w:rFonts w:ascii="Arial" w:eastAsia="Arial" w:hAnsi="Arial" w:cs="Arial"/>
          <w:b/>
        </w:rPr>
        <w:t>actualizada</w:t>
      </w:r>
      <w:r>
        <w:rPr>
          <w:rFonts w:ascii="Arial" w:eastAsia="Arial" w:hAnsi="Arial" w:cs="Arial"/>
        </w:rPr>
        <w:t xml:space="preserve"> en lo que se refiere a los contratos, tanto para los </w:t>
      </w:r>
      <w:r>
        <w:rPr>
          <w:rFonts w:ascii="Arial" w:eastAsia="Arial" w:hAnsi="Arial" w:cs="Arial"/>
          <w:b/>
        </w:rPr>
        <w:t>procesos de licitación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invitación restringida</w:t>
      </w:r>
      <w:r>
        <w:rPr>
          <w:rFonts w:ascii="Arial" w:eastAsia="Arial" w:hAnsi="Arial" w:cs="Arial"/>
        </w:rPr>
        <w:t>, pero especialmente la información relati</w:t>
      </w:r>
      <w:r>
        <w:rPr>
          <w:rFonts w:ascii="Arial" w:eastAsia="Arial" w:hAnsi="Arial" w:cs="Arial"/>
        </w:rPr>
        <w:t xml:space="preserve">va a las </w:t>
      </w:r>
      <w:r>
        <w:rPr>
          <w:rFonts w:ascii="Arial" w:eastAsia="Arial" w:hAnsi="Arial" w:cs="Arial"/>
          <w:b/>
        </w:rPr>
        <w:t>adjudicaciones directas</w:t>
      </w:r>
      <w:r>
        <w:rPr>
          <w:rFonts w:ascii="Arial" w:eastAsia="Arial" w:hAnsi="Arial" w:cs="Arial"/>
        </w:rPr>
        <w:t>. Lo mismo en los relativo a los convenios que suscribe.</w:t>
      </w:r>
    </w:p>
    <w:p w14:paraId="32C802AD" w14:textId="77777777" w:rsidR="00940D31" w:rsidRDefault="00940D31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E1B881B" w14:textId="77777777" w:rsidR="00940D31" w:rsidRDefault="00BC3B3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Siguientes pasos</w:t>
      </w:r>
    </w:p>
    <w:p w14:paraId="414144CE" w14:textId="77777777" w:rsidR="00940D31" w:rsidRDefault="00BC3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notificar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color w:val="000000"/>
        </w:rPr>
        <w:t xml:space="preserve"> a cada sujeto obligado su dictamen de evaluación con las </w:t>
      </w:r>
      <w:r>
        <w:rPr>
          <w:rFonts w:ascii="Arial" w:eastAsia="Arial" w:hAnsi="Arial" w:cs="Arial"/>
          <w:b/>
          <w:color w:val="000000"/>
        </w:rPr>
        <w:t>recomendaciones vinculantes y observaciones,</w:t>
      </w:r>
      <w:r>
        <w:rPr>
          <w:rFonts w:ascii="Arial" w:eastAsia="Arial" w:hAnsi="Arial" w:cs="Arial"/>
          <w:color w:val="000000"/>
        </w:rPr>
        <w:t xml:space="preserve"> las cuales deben de ser</w:t>
      </w:r>
      <w:r>
        <w:rPr>
          <w:rFonts w:ascii="Arial" w:eastAsia="Arial" w:hAnsi="Arial" w:cs="Arial"/>
          <w:b/>
          <w:color w:val="000000"/>
        </w:rPr>
        <w:t xml:space="preserve"> solventad</w:t>
      </w:r>
      <w:r>
        <w:rPr>
          <w:rFonts w:ascii="Arial" w:eastAsia="Arial" w:hAnsi="Arial" w:cs="Arial"/>
          <w:b/>
          <w:color w:val="000000"/>
        </w:rPr>
        <w:t xml:space="preserve">as </w:t>
      </w:r>
      <w:r>
        <w:rPr>
          <w:rFonts w:ascii="Arial" w:eastAsia="Arial" w:hAnsi="Arial" w:cs="Arial"/>
          <w:color w:val="000000"/>
        </w:rPr>
        <w:t xml:space="preserve">en un plazo no mayor a </w:t>
      </w:r>
      <w:r>
        <w:rPr>
          <w:rFonts w:ascii="Arial" w:eastAsia="Arial" w:hAnsi="Arial" w:cs="Arial"/>
          <w:b/>
          <w:color w:val="000000"/>
        </w:rPr>
        <w:t>quince días hábiles</w:t>
      </w:r>
      <w:r>
        <w:rPr>
          <w:rFonts w:ascii="Arial" w:eastAsia="Arial" w:hAnsi="Arial" w:cs="Arial"/>
          <w:color w:val="000000"/>
        </w:rPr>
        <w:t>, a partir de la notificación. Concluido el plazo, la DEAEE comenzará una nueva verificación de los portales institucionales y de la PNT, con el objetivo de comprobar si se subsanaron los faltantes de informació</w:t>
      </w:r>
      <w:r>
        <w:rPr>
          <w:rFonts w:ascii="Arial" w:eastAsia="Arial" w:hAnsi="Arial" w:cs="Arial"/>
          <w:color w:val="000000"/>
        </w:rPr>
        <w:t>n o se actualizaron los datos publicados y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se atendieron las recomendaciones observadas como </w:t>
      </w:r>
      <w:r>
        <w:rPr>
          <w:rFonts w:ascii="Arial" w:eastAsia="Arial" w:hAnsi="Arial" w:cs="Arial"/>
          <w:b/>
          <w:color w:val="000000"/>
        </w:rPr>
        <w:t>áreas de oportunidad</w:t>
      </w:r>
      <w:r>
        <w:rPr>
          <w:rFonts w:ascii="Arial" w:eastAsia="Arial" w:hAnsi="Arial" w:cs="Arial"/>
        </w:rPr>
        <w:t>.</w:t>
      </w:r>
    </w:p>
    <w:p w14:paraId="7FF97A3C" w14:textId="77777777" w:rsidR="00940D31" w:rsidRDefault="00BC3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las siguientes evaluaciones vinculantes, se seguirán realizando </w:t>
      </w:r>
      <w:r>
        <w:rPr>
          <w:rFonts w:ascii="Arial" w:eastAsia="Arial" w:hAnsi="Arial" w:cs="Arial"/>
          <w:b/>
          <w:color w:val="000000"/>
        </w:rPr>
        <w:t>análisis focalizados de las obligaciones de transparencia</w:t>
      </w:r>
      <w:r>
        <w:rPr>
          <w:rFonts w:ascii="Arial" w:eastAsia="Arial" w:hAnsi="Arial" w:cs="Arial"/>
          <w:color w:val="000000"/>
        </w:rPr>
        <w:t xml:space="preserve"> en los temas que son de interés para las personas, particularmente las que tienen que ver con cómo se ejercen </w:t>
      </w:r>
      <w:r>
        <w:rPr>
          <w:rFonts w:ascii="Arial" w:eastAsia="Arial" w:hAnsi="Arial" w:cs="Arial"/>
        </w:rPr>
        <w:t xml:space="preserve">los recursos públicos </w:t>
      </w:r>
      <w:r>
        <w:rPr>
          <w:rFonts w:ascii="Arial" w:eastAsia="Arial" w:hAnsi="Arial" w:cs="Arial"/>
          <w:color w:val="000000"/>
        </w:rPr>
        <w:t>como son las contrataciones y programas sociales, entre otros</w:t>
      </w:r>
      <w:r>
        <w:rPr>
          <w:rFonts w:ascii="Arial" w:eastAsia="Arial" w:hAnsi="Arial" w:cs="Arial"/>
        </w:rPr>
        <w:t xml:space="preserve">, con miras a transitar hacia </w:t>
      </w:r>
      <w:r>
        <w:rPr>
          <w:rFonts w:ascii="Arial" w:eastAsia="Arial" w:hAnsi="Arial" w:cs="Arial"/>
          <w:b/>
        </w:rPr>
        <w:t>presupuestos abiertos</w:t>
      </w:r>
      <w:r>
        <w:rPr>
          <w:rFonts w:ascii="Arial" w:eastAsia="Arial" w:hAnsi="Arial" w:cs="Arial"/>
          <w:color w:val="000000"/>
        </w:rPr>
        <w:t>.</w:t>
      </w:r>
    </w:p>
    <w:p w14:paraId="20D3431D" w14:textId="77777777" w:rsidR="00940D31" w:rsidRDefault="00BC3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 la luz de los resultados de la Segunda Evaluación Vinculante 2020, el equipo de Estado Abierto del </w:t>
      </w:r>
      <w:proofErr w:type="spellStart"/>
      <w:r>
        <w:rPr>
          <w:rFonts w:ascii="Arial" w:eastAsia="Arial" w:hAnsi="Arial" w:cs="Arial"/>
          <w:color w:val="000000"/>
        </w:rPr>
        <w:t>InfoCDMX</w:t>
      </w:r>
      <w:proofErr w:type="spellEnd"/>
      <w:r>
        <w:rPr>
          <w:rFonts w:ascii="Arial" w:eastAsia="Arial" w:hAnsi="Arial" w:cs="Arial"/>
          <w:color w:val="000000"/>
        </w:rPr>
        <w:t xml:space="preserve"> se </w:t>
      </w:r>
      <w:r>
        <w:rPr>
          <w:rFonts w:ascii="Arial" w:eastAsia="Arial" w:hAnsi="Arial" w:cs="Arial"/>
        </w:rPr>
        <w:t xml:space="preserve">dará a la tarea de </w:t>
      </w:r>
      <w:r>
        <w:rPr>
          <w:rFonts w:ascii="Arial" w:eastAsia="Arial" w:hAnsi="Arial" w:cs="Arial"/>
          <w:color w:val="000000"/>
        </w:rPr>
        <w:t xml:space="preserve">diseñar e implementar una estrategia basada en las áreas de oportunidad que se detectaron en cada caso, con el propósito de </w:t>
      </w:r>
      <w:r>
        <w:rPr>
          <w:rFonts w:ascii="Arial" w:eastAsia="Arial" w:hAnsi="Arial" w:cs="Arial"/>
          <w:color w:val="000000"/>
        </w:rPr>
        <w:t xml:space="preserve">acompañar a los sujetos obligados y remontar la brecha de 23 puntos porcentuales para alcanzar el cumplimiento total de las obligaciones de transparencia que marca la ley y así seguir dando pasos en la implementación del </w:t>
      </w:r>
      <w:r>
        <w:rPr>
          <w:rFonts w:ascii="Arial" w:eastAsia="Arial" w:hAnsi="Arial" w:cs="Arial"/>
          <w:b/>
          <w:color w:val="000000"/>
        </w:rPr>
        <w:t>Plan Estratégico para Desarrollar l</w:t>
      </w:r>
      <w:r>
        <w:rPr>
          <w:rFonts w:ascii="Arial" w:eastAsia="Arial" w:hAnsi="Arial" w:cs="Arial"/>
          <w:b/>
          <w:color w:val="000000"/>
        </w:rPr>
        <w:t>a Agenda de Estado Abierto desde el Instituto 2019-2025</w:t>
      </w:r>
      <w:r>
        <w:rPr>
          <w:rFonts w:ascii="Arial" w:eastAsia="Arial" w:hAnsi="Arial" w:cs="Arial"/>
          <w:color w:val="000000"/>
        </w:rPr>
        <w:t xml:space="preserve"> con evaluaciones oportunas y eficaces con perspectiva de derechos humanos y accesibilidad.</w:t>
      </w:r>
    </w:p>
    <w:p w14:paraId="63C277FD" w14:textId="77777777" w:rsidR="00940D31" w:rsidRDefault="00BC3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Dicha estrategia consiste en focalizar las acciones de acompañamiento con base en las necesidades de cada suj</w:t>
      </w:r>
      <w:r>
        <w:rPr>
          <w:rFonts w:ascii="Arial" w:eastAsia="Arial" w:hAnsi="Arial" w:cs="Arial"/>
          <w:color w:val="000000"/>
        </w:rPr>
        <w:t xml:space="preserve">eto obligado a través de </w:t>
      </w:r>
      <w:r>
        <w:rPr>
          <w:rFonts w:ascii="Arial" w:eastAsia="Arial" w:hAnsi="Arial" w:cs="Arial"/>
          <w:b/>
          <w:color w:val="000000"/>
        </w:rPr>
        <w:t xml:space="preserve">asesorías técnicas especializadas </w:t>
      </w:r>
      <w:r>
        <w:rPr>
          <w:rFonts w:ascii="Arial" w:eastAsia="Arial" w:hAnsi="Arial" w:cs="Arial"/>
          <w:color w:val="000000"/>
        </w:rPr>
        <w:t xml:space="preserve">permanentes que permitan, por un lado, dar cumplimiento cabal a las obligaciones de transparencia mínimas que estipula la ley; y, por otro lado, mejorar diversos aspectos encaminados hacia la </w:t>
      </w:r>
      <w:r>
        <w:rPr>
          <w:rFonts w:ascii="Arial" w:eastAsia="Arial" w:hAnsi="Arial" w:cs="Arial"/>
          <w:b/>
          <w:color w:val="000000"/>
        </w:rPr>
        <w:t>apert</w:t>
      </w:r>
      <w:r>
        <w:rPr>
          <w:rFonts w:ascii="Arial" w:eastAsia="Arial" w:hAnsi="Arial" w:cs="Arial"/>
          <w:b/>
          <w:color w:val="000000"/>
        </w:rPr>
        <w:t>ura</w:t>
      </w:r>
      <w:r>
        <w:rPr>
          <w:rFonts w:ascii="Arial" w:eastAsia="Arial" w:hAnsi="Arial" w:cs="Arial"/>
          <w:color w:val="000000"/>
        </w:rPr>
        <w:t xml:space="preserve"> institucional en la publicación de la información como son: accesibilidad, lenguaje sencillo, bases abiertas, oportunidad, memoria y archivo, y asimismo ofrezca mecanismos para la consulta y participación con miras a que la información sea útil y permi</w:t>
      </w:r>
      <w:r>
        <w:rPr>
          <w:rFonts w:ascii="Arial" w:eastAsia="Arial" w:hAnsi="Arial" w:cs="Arial"/>
          <w:color w:val="000000"/>
        </w:rPr>
        <w:t>ta a las personas su mayor y mejor aprovechamiento.</w:t>
      </w:r>
    </w:p>
    <w:sectPr w:rsidR="00940D31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A544" w14:textId="77777777" w:rsidR="00BC3B36" w:rsidRDefault="00BC3B36">
      <w:r>
        <w:separator/>
      </w:r>
    </w:p>
  </w:endnote>
  <w:endnote w:type="continuationSeparator" w:id="0">
    <w:p w14:paraId="1D67ADB0" w14:textId="77777777" w:rsidR="00BC3B36" w:rsidRDefault="00BC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C828" w14:textId="77777777" w:rsidR="00940D31" w:rsidRDefault="00BC3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8080"/>
        <w:sz w:val="22"/>
        <w:szCs w:val="22"/>
      </w:rPr>
    </w:pPr>
    <w:r>
      <w:rPr>
        <w:rFonts w:ascii="Calibri" w:eastAsia="Calibri" w:hAnsi="Calibri" w:cs="Calibri"/>
        <w:b/>
        <w:color w:val="00808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8080"/>
        <w:sz w:val="22"/>
        <w:szCs w:val="22"/>
      </w:rPr>
      <w:instrText>PAGE</w:instrText>
    </w:r>
    <w:r w:rsidR="001D2986">
      <w:rPr>
        <w:rFonts w:ascii="Calibri" w:eastAsia="Calibri" w:hAnsi="Calibri" w:cs="Calibri"/>
        <w:b/>
        <w:color w:val="008080"/>
        <w:sz w:val="22"/>
        <w:szCs w:val="22"/>
      </w:rPr>
      <w:fldChar w:fldCharType="separate"/>
    </w:r>
    <w:r w:rsidR="001D2986">
      <w:rPr>
        <w:rFonts w:ascii="Calibri" w:eastAsia="Calibri" w:hAnsi="Calibri" w:cs="Calibri"/>
        <w:b/>
        <w:noProof/>
        <w:color w:val="008080"/>
        <w:sz w:val="22"/>
        <w:szCs w:val="22"/>
      </w:rPr>
      <w:t>1</w:t>
    </w:r>
    <w:r>
      <w:rPr>
        <w:rFonts w:ascii="Calibri" w:eastAsia="Calibri" w:hAnsi="Calibri" w:cs="Calibri"/>
        <w:b/>
        <w:color w:val="008080"/>
        <w:sz w:val="22"/>
        <w:szCs w:val="22"/>
      </w:rPr>
      <w:fldChar w:fldCharType="end"/>
    </w:r>
  </w:p>
  <w:p w14:paraId="4205986C" w14:textId="77777777" w:rsidR="00940D31" w:rsidRDefault="00940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mallCaps/>
        <w:color w:val="5B9BD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8F06" w14:textId="77777777" w:rsidR="00BC3B36" w:rsidRDefault="00BC3B36">
      <w:r>
        <w:separator/>
      </w:r>
    </w:p>
  </w:footnote>
  <w:footnote w:type="continuationSeparator" w:id="0">
    <w:p w14:paraId="77AF0126" w14:textId="77777777" w:rsidR="00BC3B36" w:rsidRDefault="00BC3B36">
      <w:r>
        <w:continuationSeparator/>
      </w:r>
    </w:p>
  </w:footnote>
  <w:footnote w:id="1">
    <w:p w14:paraId="0B1249B5" w14:textId="77777777" w:rsidR="00940D31" w:rsidRDefault="00BC3B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Los otros tres sujetos obligados no fueron objetivo de verificación debido a que fueron incorporados al Padrón en diciembre de 2019, y al comienzo de la evaluación se encontraban en periodo de carga conforme al acuerdo emitido por el Pleno del instituto.</w:t>
      </w:r>
    </w:p>
  </w:footnote>
  <w:footnote w:id="2">
    <w:p w14:paraId="57A25382" w14:textId="77777777" w:rsidR="00940D31" w:rsidRDefault="00BC3B3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La detección de esta información se basó en la experiencia y práctica de las personas que realizan la verificación de las obligaciones de transparencia en la Dirección de Estado Abierto, Estudios y Evaluación. Para su definición se utilizaron los siguien</w:t>
      </w:r>
      <w:r>
        <w:rPr>
          <w:rFonts w:ascii="Arial" w:eastAsia="Arial" w:hAnsi="Arial" w:cs="Arial"/>
          <w:sz w:val="16"/>
          <w:szCs w:val="16"/>
        </w:rPr>
        <w:t>tes criterios: la facilidad para acceder a la información, la claridad con la que se reporta, la actualización y oportunidad con la que se reporta, así como aquellos aspectos que permiten que las personas puedan obtener la información de manera rápida, sen</w:t>
      </w:r>
      <w:r>
        <w:rPr>
          <w:rFonts w:ascii="Arial" w:eastAsia="Arial" w:hAnsi="Arial" w:cs="Arial"/>
          <w:sz w:val="16"/>
          <w:szCs w:val="16"/>
        </w:rPr>
        <w:t xml:space="preserve">cilla y eficaz.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4A3E" w14:textId="77777777" w:rsidR="001D2986" w:rsidRDefault="001D2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242B6CE1" w14:textId="3154CABC" w:rsidR="00940D31" w:rsidRDefault="001D2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114300" distB="114300" distL="114300" distR="114300" simplePos="0" relativeHeight="251659264" behindDoc="1" locked="0" layoutInCell="1" hidden="0" allowOverlap="1" wp14:anchorId="456DE8EE" wp14:editId="10914D72">
          <wp:simplePos x="0" y="0"/>
          <wp:positionH relativeFrom="page">
            <wp:posOffset>9884</wp:posOffset>
          </wp:positionH>
          <wp:positionV relativeFrom="page">
            <wp:posOffset>15240</wp:posOffset>
          </wp:positionV>
          <wp:extent cx="7753350" cy="1183323"/>
          <wp:effectExtent l="0" t="0" r="0" b="0"/>
          <wp:wrapNone/>
          <wp:docPr id="263869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18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45E610" w14:textId="0C944BB2" w:rsidR="001D2986" w:rsidRDefault="001D2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3028B3D2" w14:textId="2487560F" w:rsidR="001D2986" w:rsidRDefault="001D2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76FD3DF6" w14:textId="77777777" w:rsidR="001D2986" w:rsidRDefault="001D2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664"/>
    <w:multiLevelType w:val="multilevel"/>
    <w:tmpl w:val="05063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E5D20"/>
    <w:multiLevelType w:val="multilevel"/>
    <w:tmpl w:val="B7F4C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EC5"/>
    <w:multiLevelType w:val="multilevel"/>
    <w:tmpl w:val="3E28E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EE54FB"/>
    <w:multiLevelType w:val="multilevel"/>
    <w:tmpl w:val="F18C2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A1C9B"/>
    <w:multiLevelType w:val="multilevel"/>
    <w:tmpl w:val="2C2E3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31"/>
    <w:rsid w:val="001D2986"/>
    <w:rsid w:val="00940D31"/>
    <w:rsid w:val="00B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D6A3"/>
  <w15:docId w15:val="{FEBD5B1E-567A-4F4B-8B4D-C48AA6B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BC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4710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10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71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_tradnl"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47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471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471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0A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52A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4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003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369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36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3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369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369"/>
    <w:rPr>
      <w:rFonts w:ascii="Segoe UI" w:eastAsiaTheme="minorHAnsi" w:hAnsi="Segoe UI" w:cs="Segoe U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369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3A3B2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64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643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64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438"/>
    <w:rPr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AF69FA"/>
    <w:pPr>
      <w:outlineLvl w:val="9"/>
    </w:pPr>
    <w:rPr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69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F69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F69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CF5DA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CF5DA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CF5DA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CF5DA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CF5DA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CF5DA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Revisin">
    <w:name w:val="Revision"/>
    <w:hidden/>
    <w:uiPriority w:val="99"/>
    <w:semiHidden/>
    <w:rsid w:val="009D7771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22FE8"/>
    <w:pPr>
      <w:spacing w:after="160" w:line="259" w:lineRule="auto"/>
    </w:pPr>
    <w:rPr>
      <w:rFonts w:eastAsiaTheme="minorHAnsi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drito\Downloads\Gr&#225;fica%20porcentaje%20por%20cumplimiento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drito\Downloads\20200827_SQ_Promedio%20OT%20x%20comunes%20espec&#237;ficas%20y%20particula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segunda evaluación vinculante 2020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n-US" sz="1200">
                <a:solidFill>
                  <a:sysClr val="windowText" lastClr="000000"/>
                </a:solidFill>
              </a:rPr>
              <a:t>NIVEL de cumplimiento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38382869086271"/>
          <c:y val="0.34989839737081568"/>
          <c:w val="0.7205915696945846"/>
          <c:h val="0.60542020109805117"/>
        </c:manualLayout>
      </c:layout>
      <c:pie3DChart>
        <c:varyColors val="1"/>
        <c:ser>
          <c:idx val="0"/>
          <c:order val="0"/>
          <c:tx>
            <c:strRef>
              <c:f>Hoja1!$A$9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0D2-AE48-99FC-9115187829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0D2-AE48-99FC-9115187829D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0D2-AE48-99FC-9115187829DB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0D2-AE48-99FC-9115187829DB}"/>
              </c:ext>
            </c:extLst>
          </c:dPt>
          <c:dLbls>
            <c:dLbl>
              <c:idx val="0"/>
              <c:layout>
                <c:manualLayout>
                  <c:x val="2.0520641559906926E-2"/>
                  <c:y val="-2.27790707188969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61124113146223"/>
                      <c:h val="0.163056995438212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0D2-AE48-99FC-9115187829DB}"/>
                </c:ext>
              </c:extLst>
            </c:dLbl>
            <c:dLbl>
              <c:idx val="1"/>
              <c:layout>
                <c:manualLayout>
                  <c:x val="-0.20723283218203983"/>
                  <c:y val="-0.21336553945249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9645130705675"/>
                      <c:h val="0.257749755918191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0D2-AE48-99FC-9115187829DB}"/>
                </c:ext>
              </c:extLst>
            </c:dLbl>
            <c:dLbl>
              <c:idx val="2"/>
              <c:layout>
                <c:manualLayout>
                  <c:x val="8.1269910338818366E-3"/>
                  <c:y val="2.01288244766505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404984423676"/>
                      <c:h val="0.257749755918191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0D2-AE48-99FC-9115187829DB}"/>
                </c:ext>
              </c:extLst>
            </c:dLbl>
            <c:dLbl>
              <c:idx val="3"/>
              <c:layout>
                <c:manualLayout>
                  <c:x val="0.1145039399138346"/>
                  <c:y val="7.59301442672739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14496947465876"/>
                      <c:h val="0.178243024291667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0D2-AE48-99FC-911518782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Hoja1!$B$8:$E$8</c:f>
              <c:strCache>
                <c:ptCount val="4"/>
                <c:pt idx="0">
                  <c:v>Cumplimiento total 
100 (24 SO)</c:v>
                </c:pt>
                <c:pt idx="1">
                  <c:v>Cumplimiento parcial 
60 a 99.99 pts (86 SO)</c:v>
                </c:pt>
                <c:pt idx="2">
                  <c:v>Incumplimiento parcial 
1 a 59.99 pts (25 SO)</c:v>
                </c:pt>
                <c:pt idx="3">
                  <c:v>Incumpliento total 
0 ptos (8 SO)</c:v>
                </c:pt>
              </c:strCache>
            </c:strRef>
          </c:cat>
          <c:val>
            <c:numRef>
              <c:f>Hoja1!$B$9:$E$9</c:f>
              <c:numCache>
                <c:formatCode>General</c:formatCode>
                <c:ptCount val="4"/>
                <c:pt idx="0">
                  <c:v>0.16783216783216784</c:v>
                </c:pt>
                <c:pt idx="1">
                  <c:v>0.60139860139860135</c:v>
                </c:pt>
                <c:pt idx="2">
                  <c:v>0.17482517482517482</c:v>
                </c:pt>
                <c:pt idx="3">
                  <c:v>5.5944055944055944E-2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D2-AE48-99FC-9115187829D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Arial Narrow" panose="020B0604020202020204" pitchFamily="34" charset="0"/>
                <a:ea typeface="+mn-ea"/>
                <a:cs typeface="Arial Narrow" panose="020B0604020202020204" pitchFamily="34" charset="0"/>
              </a:defRPr>
            </a:pPr>
            <a:r>
              <a:rPr lang="en-US" sz="1200" b="1">
                <a:latin typeface="Arial Narrow" panose="020B0604020202020204" pitchFamily="34" charset="0"/>
                <a:cs typeface="Arial Narrow" panose="020B0604020202020204" pitchFamily="34" charset="0"/>
              </a:rPr>
              <a:t>Índice de Cumplimiento Promedio (ICT) por ámbito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Arial Narrow" panose="020B0604020202020204" pitchFamily="34" charset="0"/>
              <a:ea typeface="+mn-ea"/>
              <a:cs typeface="Arial Narrow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ICT</c:v>
                </c:pt>
              </c:strCache>
            </c:strRef>
          </c:tx>
          <c:spPr>
            <a:solidFill>
              <a:srgbClr val="EA8F16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Poder Judicial </c:v>
                </c:pt>
                <c:pt idx="1">
                  <c:v> Administración pública centralizada </c:v>
                </c:pt>
                <c:pt idx="2">
                  <c:v>Alcaldías </c:v>
                </c:pt>
                <c:pt idx="3">
                  <c:v>Poder Legislativo </c:v>
                </c:pt>
                <c:pt idx="4">
                  <c:v>Órganos autónomos </c:v>
                </c:pt>
                <c:pt idx="5">
                  <c:v> Desconcentrados, paraestatales, fondos y fideicomisos </c:v>
                </c:pt>
                <c:pt idx="6">
                  <c:v>Partidos políticos </c:v>
                </c:pt>
                <c:pt idx="7">
                  <c:v>Sindicatos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98.97</c:v>
                </c:pt>
                <c:pt idx="1">
                  <c:v>95.98</c:v>
                </c:pt>
                <c:pt idx="2">
                  <c:v>93.21</c:v>
                </c:pt>
                <c:pt idx="3">
                  <c:v>92.23</c:v>
                </c:pt>
                <c:pt idx="4">
                  <c:v>82.98</c:v>
                </c:pt>
                <c:pt idx="5">
                  <c:v>75.09</c:v>
                </c:pt>
                <c:pt idx="6">
                  <c:v>55.76</c:v>
                </c:pt>
                <c:pt idx="7">
                  <c:v>21.71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0-4B1C-828A-FB798AA552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34940047"/>
        <c:axId val="1034545775"/>
      </c:barChart>
      <c:catAx>
        <c:axId val="1034940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Arial Narrow" panose="020B0604020202020204" pitchFamily="34" charset="0"/>
                <a:ea typeface="+mn-ea"/>
                <a:cs typeface="Arial Narrow" panose="020B0604020202020204" pitchFamily="34" charset="0"/>
              </a:defRPr>
            </a:pPr>
            <a:endParaRPr lang="es-MX"/>
          </a:p>
        </c:txPr>
        <c:crossAx val="1034545775"/>
        <c:crosses val="autoZero"/>
        <c:auto val="1"/>
        <c:lblAlgn val="ctr"/>
        <c:lblOffset val="100"/>
        <c:noMultiLvlLbl val="0"/>
      </c:catAx>
      <c:valAx>
        <c:axId val="103454577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3494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400"/>
              <a:t>Cumplimiento en la fracción sobre contrataciones</a:t>
            </a:r>
          </a:p>
          <a:p>
            <a:pPr>
              <a:defRPr/>
            </a:pPr>
            <a:r>
              <a:rPr lang="en-US" sz="1200"/>
              <a:t>Promedio de todos los ámbitos: </a:t>
            </a:r>
            <a:r>
              <a:rPr lang="en-US" sz="1200" b="1"/>
              <a:t>71.2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'BP-AO'!$B$2</c:f>
              <c:strCache>
                <c:ptCount val="1"/>
                <c:pt idx="0">
                  <c:v>Puntaje promedio en contrataciones</c:v>
                </c:pt>
              </c:strCache>
            </c:strRef>
          </c:tx>
          <c:spPr>
            <a:solidFill>
              <a:srgbClr val="CC6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'BP-AO'!$A$3:$A$10</c:f>
              <c:strCache>
                <c:ptCount val="8"/>
                <c:pt idx="0">
                  <c:v>*Administración Pública Centralizada</c:v>
                </c:pt>
                <c:pt idx="1">
                  <c:v>*Desconcentrados, paraestatales, fondos y fideicomisos </c:v>
                </c:pt>
                <c:pt idx="2">
                  <c:v>*Alcaldías </c:v>
                </c:pt>
                <c:pt idx="3">
                  <c:v>*Poder Judicial </c:v>
                </c:pt>
                <c:pt idx="4">
                  <c:v>*Poder Legislativo </c:v>
                </c:pt>
                <c:pt idx="5">
                  <c:v>*Órganos Autónomos </c:v>
                </c:pt>
                <c:pt idx="6">
                  <c:v>+Partidos Políticos </c:v>
                </c:pt>
                <c:pt idx="7">
                  <c:v>°Sindicatos </c:v>
                </c:pt>
              </c:strCache>
            </c:strRef>
          </c:cat>
          <c:val>
            <c:numRef>
              <c:f>'BP-AO'!$B$3:$B$10</c:f>
              <c:numCache>
                <c:formatCode>General</c:formatCode>
                <c:ptCount val="8"/>
                <c:pt idx="0">
                  <c:v>97.56</c:v>
                </c:pt>
                <c:pt idx="1">
                  <c:v>56.39</c:v>
                </c:pt>
                <c:pt idx="2">
                  <c:v>95.65</c:v>
                </c:pt>
                <c:pt idx="3">
                  <c:v>79</c:v>
                </c:pt>
                <c:pt idx="4">
                  <c:v>95.2</c:v>
                </c:pt>
                <c:pt idx="5">
                  <c:v>86.62</c:v>
                </c:pt>
                <c:pt idx="6">
                  <c:v>40</c:v>
                </c:pt>
                <c:pt idx="7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6-4CC0-8260-4C07E4935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74977944"/>
        <c:axId val="674979256"/>
      </c:barChart>
      <c:catAx>
        <c:axId val="67497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74979256"/>
        <c:crosses val="autoZero"/>
        <c:auto val="1"/>
        <c:lblAlgn val="ctr"/>
        <c:lblOffset val="100"/>
        <c:noMultiLvlLbl val="0"/>
      </c:catAx>
      <c:valAx>
        <c:axId val="67497925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74977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jG86VtN+OkKuR8+k/1/Ikjb/g==">AMUW2mXl1TjN2HDBcD//nB+ZtSIpvFJUoJ/QfTacF04crSj0Pkanfg62OLIRQNUxU7zSIZEqp33CcRrkSHhUv+gYs9a6AHQKis2b7O7z+lA1Kjd56pFNN0ookzuIbvV2JmYQCOlFJeAzZGGdZF/KNaQ3YWVgfQpwmahppZWY2J66c4x3YlLMVc0=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D8CCD1-FA27-4517-BC93-424329F8B998}"/>
</file>

<file path=customXml/itemProps3.xml><?xml version="1.0" encoding="utf-8"?>
<ds:datastoreItem xmlns:ds="http://schemas.openxmlformats.org/officeDocument/2006/customXml" ds:itemID="{A3C61A63-EEA2-48DA-A897-4B3581127211}"/>
</file>

<file path=customXml/itemProps4.xml><?xml version="1.0" encoding="utf-8"?>
<ds:datastoreItem xmlns:ds="http://schemas.openxmlformats.org/officeDocument/2006/customXml" ds:itemID="{97959987-5918-4C9A-9247-146BC0FF8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1944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Antonio Trapero Maldonado</dc:creator>
  <cp:lastModifiedBy>Aldo Antonio Trapero Maldonado</cp:lastModifiedBy>
  <cp:revision>2</cp:revision>
  <dcterms:created xsi:type="dcterms:W3CDTF">2020-09-21T18:08:00Z</dcterms:created>
  <dcterms:modified xsi:type="dcterms:W3CDTF">2020-09-30T16:52:00Z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